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44"/>
          <w:szCs w:val="44"/>
          <w:lang w:val="en-US" w:eastAsia="zh-CN"/>
        </w:rPr>
      </w:pPr>
      <w:bookmarkStart w:id="0" w:name="_GoBack"/>
      <w:bookmarkEnd w:id="0"/>
    </w:p>
    <w:p>
      <w:pPr>
        <w:jc w:val="center"/>
        <w:rPr>
          <w:rFonts w:hint="eastAsia" w:ascii="仿宋_GB2312" w:hAnsi="仿宋_GB2312" w:eastAsia="仿宋_GB2312" w:cs="仿宋_GB2312"/>
          <w:sz w:val="32"/>
          <w:szCs w:val="32"/>
          <w:lang w:val="en-US" w:eastAsia="zh-CN"/>
        </w:rPr>
      </w:pPr>
      <w:r>
        <w:rPr>
          <w:rFonts w:hint="eastAsia" w:ascii="方正小标宋简体" w:hAnsi="方正小标宋简体" w:eastAsia="方正小标宋简体" w:cs="方正小标宋简体"/>
          <w:sz w:val="44"/>
          <w:szCs w:val="44"/>
          <w:lang w:val="en-US" w:eastAsia="zh-CN"/>
        </w:rPr>
        <w:t>常德市互联网信息办公室2025年度涉企行政检查计划</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4"/>
        <w:gridCol w:w="933"/>
        <w:gridCol w:w="5285"/>
        <w:gridCol w:w="1419"/>
        <w:gridCol w:w="1172"/>
        <w:gridCol w:w="1050"/>
        <w:gridCol w:w="784"/>
        <w:gridCol w:w="894"/>
        <w:gridCol w:w="1186"/>
        <w:gridCol w:w="1077"/>
        <w:gridCol w:w="8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trPr>
        <w:tc>
          <w:tcPr>
            <w:tcW w:w="63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黑体_GBK" w:hAnsi="方正黑体_GBK" w:eastAsia="方正黑体_GBK" w:cs="方正黑体_GBK"/>
                <w:b w:val="0"/>
                <w:bCs w:val="0"/>
                <w:sz w:val="21"/>
                <w:szCs w:val="21"/>
                <w:vertAlign w:val="baseline"/>
                <w:lang w:eastAsia="zh-CN"/>
              </w:rPr>
            </w:pPr>
            <w:r>
              <w:rPr>
                <w:rFonts w:hint="eastAsia" w:ascii="方正黑体_GBK" w:hAnsi="方正黑体_GBK" w:eastAsia="方正黑体_GBK" w:cs="方正黑体_GBK"/>
                <w:b w:val="0"/>
                <w:bCs w:val="0"/>
                <w:sz w:val="21"/>
                <w:szCs w:val="21"/>
                <w:vertAlign w:val="baseline"/>
                <w:lang w:eastAsia="zh-CN"/>
              </w:rPr>
              <w:t>序号</w:t>
            </w:r>
          </w:p>
        </w:tc>
        <w:tc>
          <w:tcPr>
            <w:tcW w:w="9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黑体_GBK" w:hAnsi="方正黑体_GBK" w:eastAsia="方正黑体_GBK" w:cs="方正黑体_GBK"/>
                <w:b w:val="0"/>
                <w:bCs w:val="0"/>
                <w:sz w:val="21"/>
                <w:szCs w:val="21"/>
                <w:vertAlign w:val="baseline"/>
                <w:lang w:eastAsia="zh-CN"/>
              </w:rPr>
            </w:pPr>
            <w:r>
              <w:rPr>
                <w:rFonts w:hint="eastAsia" w:ascii="方正黑体_GBK" w:hAnsi="方正黑体_GBK" w:eastAsia="方正黑体_GBK" w:cs="方正黑体_GBK"/>
                <w:b w:val="0"/>
                <w:bCs w:val="0"/>
                <w:sz w:val="21"/>
                <w:szCs w:val="21"/>
                <w:vertAlign w:val="baseline"/>
                <w:lang w:eastAsia="zh-CN"/>
              </w:rPr>
              <w:t>检查</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黑体_GBK" w:hAnsi="方正黑体_GBK" w:eastAsia="方正黑体_GBK" w:cs="方正黑体_GBK"/>
                <w:b w:val="0"/>
                <w:bCs w:val="0"/>
                <w:sz w:val="21"/>
                <w:szCs w:val="21"/>
                <w:vertAlign w:val="baseline"/>
                <w:lang w:eastAsia="zh-CN"/>
              </w:rPr>
            </w:pPr>
            <w:r>
              <w:rPr>
                <w:rFonts w:hint="eastAsia" w:ascii="方正黑体_GBK" w:hAnsi="方正黑体_GBK" w:eastAsia="方正黑体_GBK" w:cs="方正黑体_GBK"/>
                <w:b w:val="0"/>
                <w:bCs w:val="0"/>
                <w:sz w:val="21"/>
                <w:szCs w:val="21"/>
                <w:vertAlign w:val="baseline"/>
                <w:lang w:eastAsia="zh-CN"/>
              </w:rPr>
              <w:t>事项</w:t>
            </w:r>
          </w:p>
        </w:tc>
        <w:tc>
          <w:tcPr>
            <w:tcW w:w="528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黑体_GBK" w:hAnsi="方正黑体_GBK" w:eastAsia="方正黑体_GBK" w:cs="方正黑体_GBK"/>
                <w:b w:val="0"/>
                <w:bCs w:val="0"/>
                <w:sz w:val="21"/>
                <w:szCs w:val="21"/>
                <w:vertAlign w:val="baseline"/>
                <w:lang w:eastAsia="zh-CN"/>
              </w:rPr>
            </w:pPr>
            <w:r>
              <w:rPr>
                <w:rFonts w:hint="eastAsia" w:ascii="方正黑体_GBK" w:hAnsi="方正黑体_GBK" w:eastAsia="方正黑体_GBK" w:cs="方正黑体_GBK"/>
                <w:b w:val="0"/>
                <w:bCs w:val="0"/>
                <w:sz w:val="21"/>
                <w:szCs w:val="21"/>
                <w:vertAlign w:val="baseline"/>
                <w:lang w:eastAsia="zh-CN"/>
              </w:rPr>
              <w:t>实施依据</w:t>
            </w:r>
          </w:p>
        </w:tc>
        <w:tc>
          <w:tcPr>
            <w:tcW w:w="141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黑体_GBK" w:hAnsi="方正黑体_GBK" w:eastAsia="方正黑体_GBK" w:cs="方正黑体_GBK"/>
                <w:b w:val="0"/>
                <w:bCs w:val="0"/>
                <w:sz w:val="21"/>
                <w:szCs w:val="21"/>
                <w:vertAlign w:val="baseline"/>
                <w:lang w:eastAsia="zh-CN"/>
              </w:rPr>
            </w:pPr>
            <w:r>
              <w:rPr>
                <w:rFonts w:hint="eastAsia" w:ascii="方正黑体_GBK" w:hAnsi="方正黑体_GBK" w:eastAsia="方正黑体_GBK" w:cs="方正黑体_GBK"/>
                <w:b w:val="0"/>
                <w:bCs w:val="0"/>
                <w:sz w:val="21"/>
                <w:szCs w:val="21"/>
                <w:vertAlign w:val="baseline"/>
                <w:lang w:eastAsia="zh-CN"/>
              </w:rPr>
              <w:t>具体检查对象或“双随机”抽查范围（含比例）</w:t>
            </w:r>
          </w:p>
        </w:tc>
        <w:tc>
          <w:tcPr>
            <w:tcW w:w="117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黑体_GBK" w:hAnsi="方正黑体_GBK" w:eastAsia="方正黑体_GBK" w:cs="方正黑体_GBK"/>
                <w:b w:val="0"/>
                <w:bCs w:val="0"/>
                <w:sz w:val="21"/>
                <w:szCs w:val="21"/>
                <w:vertAlign w:val="baseline"/>
                <w:lang w:eastAsia="zh-CN"/>
              </w:rPr>
            </w:pPr>
            <w:r>
              <w:rPr>
                <w:rFonts w:hint="eastAsia" w:ascii="方正黑体_GBK" w:hAnsi="方正黑体_GBK" w:eastAsia="方正黑体_GBK" w:cs="方正黑体_GBK"/>
                <w:b w:val="0"/>
                <w:bCs w:val="0"/>
                <w:sz w:val="21"/>
                <w:szCs w:val="21"/>
                <w:vertAlign w:val="baseline"/>
                <w:lang w:eastAsia="zh-CN"/>
              </w:rPr>
              <w:t>检查内容（项目）</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黑体_GBK" w:hAnsi="方正黑体_GBK" w:eastAsia="方正黑体_GBK" w:cs="方正黑体_GBK"/>
                <w:b w:val="0"/>
                <w:bCs w:val="0"/>
                <w:sz w:val="21"/>
                <w:szCs w:val="21"/>
                <w:vertAlign w:val="baseline"/>
                <w:lang w:eastAsia="zh-CN"/>
              </w:rPr>
            </w:pPr>
            <w:r>
              <w:rPr>
                <w:rFonts w:hint="eastAsia" w:ascii="方正黑体_GBK" w:hAnsi="方正黑体_GBK" w:eastAsia="方正黑体_GBK" w:cs="方正黑体_GBK"/>
                <w:b w:val="0"/>
                <w:bCs w:val="0"/>
                <w:sz w:val="21"/>
                <w:szCs w:val="21"/>
                <w:vertAlign w:val="baseline"/>
                <w:lang w:eastAsia="zh-CN"/>
              </w:rPr>
              <w:t>拟实施检查时间</w:t>
            </w:r>
          </w:p>
        </w:tc>
        <w:tc>
          <w:tcPr>
            <w:tcW w:w="78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黑体_GBK" w:hAnsi="方正黑体_GBK" w:eastAsia="方正黑体_GBK" w:cs="方正黑体_GBK"/>
                <w:b w:val="0"/>
                <w:bCs w:val="0"/>
                <w:sz w:val="21"/>
                <w:szCs w:val="21"/>
                <w:vertAlign w:val="baseline"/>
                <w:lang w:eastAsia="zh-CN"/>
              </w:rPr>
            </w:pPr>
            <w:r>
              <w:rPr>
                <w:rFonts w:hint="eastAsia" w:ascii="方正黑体_GBK" w:hAnsi="方正黑体_GBK" w:eastAsia="方正黑体_GBK" w:cs="方正黑体_GBK"/>
                <w:b w:val="0"/>
                <w:bCs w:val="0"/>
                <w:sz w:val="21"/>
                <w:szCs w:val="21"/>
                <w:vertAlign w:val="baseline"/>
                <w:lang w:eastAsia="zh-CN"/>
              </w:rPr>
              <w:t>检查</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黑体_GBK" w:hAnsi="方正黑体_GBK" w:eastAsia="方正黑体_GBK" w:cs="方正黑体_GBK"/>
                <w:b w:val="0"/>
                <w:bCs w:val="0"/>
                <w:sz w:val="21"/>
                <w:szCs w:val="21"/>
                <w:vertAlign w:val="baseline"/>
                <w:lang w:eastAsia="zh-CN"/>
              </w:rPr>
            </w:pPr>
            <w:r>
              <w:rPr>
                <w:rFonts w:hint="eastAsia" w:ascii="方正黑体_GBK" w:hAnsi="方正黑体_GBK" w:eastAsia="方正黑体_GBK" w:cs="方正黑体_GBK"/>
                <w:b w:val="0"/>
                <w:bCs w:val="0"/>
                <w:sz w:val="21"/>
                <w:szCs w:val="21"/>
                <w:vertAlign w:val="baseline"/>
                <w:lang w:eastAsia="zh-CN"/>
              </w:rPr>
              <w:t>方式</w:t>
            </w:r>
          </w:p>
        </w:tc>
        <w:tc>
          <w:tcPr>
            <w:tcW w:w="89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黑体_GBK" w:hAnsi="方正黑体_GBK" w:eastAsia="方正黑体_GBK" w:cs="方正黑体_GBK"/>
                <w:b w:val="0"/>
                <w:bCs w:val="0"/>
                <w:sz w:val="21"/>
                <w:szCs w:val="21"/>
                <w:vertAlign w:val="baseline"/>
                <w:lang w:eastAsia="zh-CN"/>
              </w:rPr>
            </w:pPr>
            <w:r>
              <w:rPr>
                <w:rFonts w:hint="eastAsia" w:ascii="方正黑体_GBK" w:hAnsi="方正黑体_GBK" w:eastAsia="方正黑体_GBK" w:cs="方正黑体_GBK"/>
                <w:b w:val="0"/>
                <w:bCs w:val="0"/>
                <w:sz w:val="21"/>
                <w:szCs w:val="21"/>
                <w:vertAlign w:val="baseline"/>
                <w:lang w:eastAsia="zh-CN"/>
              </w:rPr>
              <w:t>年度检查频次</w:t>
            </w:r>
          </w:p>
        </w:tc>
        <w:tc>
          <w:tcPr>
            <w:tcW w:w="118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黑体_GBK" w:hAnsi="方正黑体_GBK" w:eastAsia="方正黑体_GBK" w:cs="方正黑体_GBK"/>
                <w:b w:val="0"/>
                <w:bCs w:val="0"/>
                <w:sz w:val="21"/>
                <w:szCs w:val="21"/>
                <w:vertAlign w:val="baseline"/>
                <w:lang w:eastAsia="zh-CN"/>
              </w:rPr>
            </w:pPr>
            <w:r>
              <w:rPr>
                <w:rFonts w:hint="eastAsia" w:ascii="方正黑体_GBK" w:hAnsi="方正黑体_GBK" w:eastAsia="方正黑体_GBK" w:cs="方正黑体_GBK"/>
                <w:b w:val="0"/>
                <w:bCs w:val="0"/>
                <w:sz w:val="21"/>
                <w:szCs w:val="21"/>
                <w:vertAlign w:val="baseline"/>
                <w:lang w:eastAsia="zh-CN"/>
              </w:rPr>
              <w:t>承办</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黑体_GBK" w:hAnsi="方正黑体_GBK" w:eastAsia="方正黑体_GBK" w:cs="方正黑体_GBK"/>
                <w:b w:val="0"/>
                <w:bCs w:val="0"/>
                <w:sz w:val="21"/>
                <w:szCs w:val="21"/>
                <w:vertAlign w:val="baseline"/>
                <w:lang w:eastAsia="zh-CN"/>
              </w:rPr>
            </w:pPr>
            <w:r>
              <w:rPr>
                <w:rFonts w:hint="eastAsia" w:ascii="方正黑体_GBK" w:hAnsi="方正黑体_GBK" w:eastAsia="方正黑体_GBK" w:cs="方正黑体_GBK"/>
                <w:b w:val="0"/>
                <w:bCs w:val="0"/>
                <w:sz w:val="21"/>
                <w:szCs w:val="21"/>
                <w:vertAlign w:val="baseline"/>
                <w:lang w:eastAsia="zh-CN"/>
              </w:rPr>
              <w:t>机构</w:t>
            </w:r>
          </w:p>
        </w:tc>
        <w:tc>
          <w:tcPr>
            <w:tcW w:w="107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黑体_GBK" w:hAnsi="方正黑体_GBK" w:eastAsia="方正黑体_GBK" w:cs="方正黑体_GBK"/>
                <w:b w:val="0"/>
                <w:bCs w:val="0"/>
                <w:sz w:val="21"/>
                <w:szCs w:val="21"/>
                <w:vertAlign w:val="baseline"/>
                <w:lang w:eastAsia="zh-CN"/>
              </w:rPr>
            </w:pPr>
            <w:r>
              <w:rPr>
                <w:rFonts w:hint="eastAsia" w:ascii="方正黑体_GBK" w:hAnsi="方正黑体_GBK" w:eastAsia="方正黑体_GBK" w:cs="方正黑体_GBK"/>
                <w:b w:val="0"/>
                <w:bCs w:val="0"/>
                <w:sz w:val="21"/>
                <w:szCs w:val="21"/>
                <w:vertAlign w:val="baseline"/>
                <w:lang w:eastAsia="zh-CN"/>
              </w:rPr>
              <w:t>是否属跨部门联合检查</w:t>
            </w:r>
          </w:p>
        </w:tc>
        <w:tc>
          <w:tcPr>
            <w:tcW w:w="82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黑体_GBK" w:hAnsi="方正黑体_GBK" w:eastAsia="方正黑体_GBK" w:cs="方正黑体_GBK"/>
                <w:b w:val="0"/>
                <w:bCs w:val="0"/>
                <w:sz w:val="21"/>
                <w:szCs w:val="21"/>
                <w:vertAlign w:val="baseline"/>
                <w:lang w:eastAsia="zh-CN"/>
              </w:rPr>
            </w:pPr>
            <w:r>
              <w:rPr>
                <w:rFonts w:hint="eastAsia" w:ascii="方正黑体_GBK" w:hAnsi="方正黑体_GBK" w:eastAsia="方正黑体_GBK" w:cs="方正黑体_GBK"/>
                <w:b w:val="0"/>
                <w:bCs w:val="0"/>
                <w:sz w:val="21"/>
                <w:szCs w:val="21"/>
                <w:vertAlign w:val="baseli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9" w:hRule="atLeast"/>
        </w:trPr>
        <w:tc>
          <w:tcPr>
            <w:tcW w:w="634" w:type="dxa"/>
            <w:noWrap w:val="0"/>
            <w:vAlign w:val="center"/>
          </w:tcPr>
          <w:p>
            <w:pPr>
              <w:jc w:val="center"/>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w:t>
            </w:r>
          </w:p>
        </w:tc>
        <w:tc>
          <w:tcPr>
            <w:tcW w:w="933" w:type="dxa"/>
            <w:noWrap w:val="0"/>
            <w:vAlign w:val="center"/>
          </w:tcPr>
          <w:p>
            <w:pPr>
              <w:jc w:val="center"/>
              <w:rPr>
                <w:rFonts w:hint="eastAsia" w:ascii="仿宋_GB2312" w:hAnsi="仿宋_GB2312" w:eastAsia="仿宋_GB2312" w:cs="仿宋_GB2312"/>
                <w:sz w:val="21"/>
                <w:szCs w:val="21"/>
                <w:vertAlign w:val="baseline"/>
                <w:lang w:eastAsia="zh-CN"/>
              </w:rPr>
            </w:pPr>
            <w:r>
              <w:rPr>
                <w:rFonts w:hint="eastAsia" w:ascii="仿宋_GB2312" w:hAnsi="仿宋_GB2312" w:eastAsia="仿宋_GB2312" w:cs="仿宋_GB2312"/>
                <w:sz w:val="21"/>
                <w:szCs w:val="21"/>
                <w:vertAlign w:val="baseline"/>
                <w:lang w:eastAsia="zh-CN"/>
              </w:rPr>
              <w:t>互联网新闻信息服务检查</w:t>
            </w:r>
          </w:p>
        </w:tc>
        <w:tc>
          <w:tcPr>
            <w:tcW w:w="5285" w:type="dxa"/>
            <w:noWrap w:val="0"/>
            <w:vAlign w:val="center"/>
          </w:tcPr>
          <w:p>
            <w:pPr>
              <w:numPr>
                <w:ilvl w:val="0"/>
                <w:numId w:val="0"/>
              </w:numPr>
              <w:jc w:val="both"/>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互联网新闻信息服务管理规定》第四条“地方互联网信息办公室依据职责负责本行政区域内互联网新闻信息服务的监督管理执法工作。”第十九条“国家和地方互联网信息办公室应当建立日常检查和定期检查相结合的监督管理制度，依法对互联网新闻信息服务活动实施监督检查，有关单位、个人应当予以配合。”</w:t>
            </w:r>
          </w:p>
          <w:p>
            <w:pPr>
              <w:numPr>
                <w:ilvl w:val="0"/>
                <w:numId w:val="0"/>
              </w:numPr>
              <w:jc w:val="both"/>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互联网新闻信息服务单位内容管理从业人员管理办法》第四条“地方互联网信息办公室依据职责负责本地区互联网新闻信息服务单位从业人员教育培训工作的规划指导和从业情况的监督检查。”第十三条“互联网新闻信息服务单位自行组织从业人员开展的教育培训工作，应当接受国家和地方互联网信息办公室的指导和监督。有关情况纳入国家和地方互联网信息办公室和对该单位的监督检查内容。”第十七条“国家和地方互联网信息办公室将互联网新闻信息服务单位从业人员的从业情况纳入对该单位的监督检查内容。”</w:t>
            </w:r>
          </w:p>
        </w:tc>
        <w:tc>
          <w:tcPr>
            <w:tcW w:w="1419" w:type="dxa"/>
            <w:noWrap w:val="0"/>
            <w:vAlign w:val="center"/>
          </w:tcPr>
          <w:p>
            <w:pPr>
              <w:numPr>
                <w:ilvl w:val="0"/>
                <w:numId w:val="0"/>
              </w:numPr>
              <w:jc w:val="center"/>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互联网新闻信息服务单位</w:t>
            </w:r>
          </w:p>
        </w:tc>
        <w:tc>
          <w:tcPr>
            <w:tcW w:w="1172" w:type="dxa"/>
            <w:noWrap w:val="0"/>
            <w:vAlign w:val="center"/>
          </w:tcPr>
          <w:p>
            <w:pPr>
              <w:numPr>
                <w:ilvl w:val="0"/>
                <w:numId w:val="0"/>
              </w:numPr>
              <w:jc w:val="center"/>
              <w:rPr>
                <w:rFonts w:hint="eastAsia" w:ascii="仿宋_GB2312" w:hAnsi="仿宋_GB2312" w:eastAsia="仿宋_GB2312" w:cs="仿宋_GB2312"/>
                <w:sz w:val="21"/>
                <w:szCs w:val="21"/>
                <w:vertAlign w:val="baseline"/>
                <w:lang w:eastAsia="zh-CN"/>
              </w:rPr>
            </w:pPr>
            <w:r>
              <w:rPr>
                <w:rFonts w:hint="eastAsia" w:ascii="仿宋_GB2312" w:hAnsi="仿宋_GB2312" w:eastAsia="仿宋_GB2312" w:cs="仿宋_GB2312"/>
                <w:sz w:val="21"/>
                <w:szCs w:val="21"/>
                <w:vertAlign w:val="baseline"/>
                <w:lang w:eastAsia="zh-CN"/>
              </w:rPr>
              <w:t>执行《互联网新闻信息服务管理规定》情况</w:t>
            </w:r>
          </w:p>
        </w:tc>
        <w:tc>
          <w:tcPr>
            <w:tcW w:w="1050" w:type="dxa"/>
            <w:noWrap w:val="0"/>
            <w:vAlign w:val="center"/>
          </w:tcPr>
          <w:p>
            <w:pPr>
              <w:numPr>
                <w:ilvl w:val="0"/>
                <w:numId w:val="0"/>
              </w:numPr>
              <w:jc w:val="center"/>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不定期</w:t>
            </w:r>
          </w:p>
        </w:tc>
        <w:tc>
          <w:tcPr>
            <w:tcW w:w="784" w:type="dxa"/>
            <w:noWrap w:val="0"/>
            <w:vAlign w:val="center"/>
          </w:tcPr>
          <w:p>
            <w:pPr>
              <w:numPr>
                <w:ilvl w:val="0"/>
                <w:numId w:val="0"/>
              </w:numPr>
              <w:jc w:val="center"/>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现场检查和非现场检查相结合</w:t>
            </w:r>
          </w:p>
        </w:tc>
        <w:tc>
          <w:tcPr>
            <w:tcW w:w="894" w:type="dxa"/>
            <w:noWrap w:val="0"/>
            <w:vAlign w:val="center"/>
          </w:tcPr>
          <w:p>
            <w:pPr>
              <w:numPr>
                <w:ilvl w:val="0"/>
                <w:numId w:val="0"/>
              </w:numPr>
              <w:jc w:val="center"/>
              <w:rPr>
                <w:rFonts w:hint="default" w:ascii="仿宋_GB2312" w:hAnsi="仿宋_GB2312" w:eastAsia="仿宋_GB2312" w:cs="仿宋_GB2312"/>
                <w:sz w:val="21"/>
                <w:szCs w:val="21"/>
                <w:vertAlign w:val="baseline"/>
                <w:lang w:val="en" w:eastAsia="zh-CN"/>
              </w:rPr>
            </w:pPr>
          </w:p>
          <w:p>
            <w:pPr>
              <w:numPr>
                <w:ilvl w:val="0"/>
                <w:numId w:val="0"/>
              </w:numPr>
              <w:jc w:val="center"/>
              <w:rPr>
                <w:rFonts w:hint="default" w:ascii="仿宋_GB2312" w:hAnsi="仿宋_GB2312" w:eastAsia="仿宋_GB2312" w:cs="仿宋_GB2312"/>
                <w:sz w:val="21"/>
                <w:szCs w:val="21"/>
                <w:vertAlign w:val="baseline"/>
                <w:lang w:val="en" w:eastAsia="zh-CN"/>
              </w:rPr>
            </w:pPr>
            <w:r>
              <w:rPr>
                <w:rFonts w:hint="default" w:ascii="仿宋_GB2312" w:hAnsi="仿宋_GB2312" w:eastAsia="仿宋_GB2312" w:cs="仿宋_GB2312"/>
                <w:sz w:val="21"/>
                <w:szCs w:val="21"/>
                <w:vertAlign w:val="baseline"/>
                <w:lang w:val="en" w:eastAsia="zh-CN"/>
              </w:rPr>
              <w:t>小于等于2次</w:t>
            </w:r>
          </w:p>
        </w:tc>
        <w:tc>
          <w:tcPr>
            <w:tcW w:w="1186" w:type="dxa"/>
            <w:noWrap w:val="0"/>
            <w:vAlign w:val="center"/>
          </w:tcPr>
          <w:p>
            <w:pPr>
              <w:numPr>
                <w:ilvl w:val="0"/>
                <w:numId w:val="0"/>
              </w:numPr>
              <w:jc w:val="center"/>
              <w:rPr>
                <w:rFonts w:hint="eastAsia" w:ascii="仿宋_GB2312" w:hAnsi="仿宋_GB2312" w:eastAsia="仿宋_GB2312" w:cs="仿宋_GB2312"/>
                <w:sz w:val="21"/>
                <w:szCs w:val="21"/>
                <w:vertAlign w:val="baseline"/>
                <w:lang w:eastAsia="zh-CN"/>
              </w:rPr>
            </w:pPr>
            <w:r>
              <w:rPr>
                <w:rFonts w:hint="eastAsia" w:ascii="仿宋_GB2312" w:hAnsi="仿宋_GB2312" w:eastAsia="仿宋_GB2312" w:cs="仿宋_GB2312"/>
                <w:sz w:val="21"/>
                <w:szCs w:val="21"/>
                <w:vertAlign w:val="baseline"/>
                <w:lang w:eastAsia="zh-CN"/>
              </w:rPr>
              <w:t>常德市互联网信息办公室网络综合治理与执法监督科，县市区网信办承担网络综合治理和执法监督职能的股室</w:t>
            </w:r>
          </w:p>
        </w:tc>
        <w:tc>
          <w:tcPr>
            <w:tcW w:w="1077" w:type="dxa"/>
            <w:noWrap w:val="0"/>
            <w:vAlign w:val="center"/>
          </w:tcPr>
          <w:p>
            <w:pPr>
              <w:numPr>
                <w:ilvl w:val="0"/>
                <w:numId w:val="0"/>
              </w:numPr>
              <w:jc w:val="center"/>
              <w:rPr>
                <w:rFonts w:hint="eastAsia" w:ascii="仿宋_GB2312" w:hAnsi="仿宋_GB2312" w:eastAsia="仿宋_GB2312" w:cs="仿宋_GB2312"/>
                <w:sz w:val="21"/>
                <w:szCs w:val="21"/>
                <w:vertAlign w:val="baseline"/>
                <w:lang w:eastAsia="zh-CN"/>
              </w:rPr>
            </w:pPr>
            <w:r>
              <w:rPr>
                <w:rFonts w:hint="eastAsia" w:ascii="仿宋_GB2312" w:hAnsi="仿宋_GB2312" w:eastAsia="仿宋_GB2312" w:cs="仿宋_GB2312"/>
                <w:sz w:val="21"/>
                <w:szCs w:val="21"/>
                <w:vertAlign w:val="baseline"/>
                <w:lang w:eastAsia="zh-CN"/>
              </w:rPr>
              <w:t>否</w:t>
            </w:r>
          </w:p>
        </w:tc>
        <w:tc>
          <w:tcPr>
            <w:tcW w:w="821" w:type="dxa"/>
            <w:noWrap w:val="0"/>
            <w:vAlign w:val="center"/>
          </w:tcPr>
          <w:p>
            <w:pPr>
              <w:numPr>
                <w:ilvl w:val="0"/>
                <w:numId w:val="0"/>
              </w:numPr>
              <w:jc w:val="center"/>
              <w:rPr>
                <w:rFonts w:hint="eastAsia" w:ascii="仿宋_GB2312" w:hAnsi="仿宋_GB2312" w:eastAsia="仿宋_GB2312" w:cs="仿宋_GB2312"/>
                <w:sz w:val="21"/>
                <w:szCs w:val="21"/>
                <w:vertAlign w:val="baseline"/>
                <w:lang w:eastAsia="zh-CN"/>
              </w:rPr>
            </w:pPr>
            <w:r>
              <w:rPr>
                <w:rFonts w:hint="eastAsia" w:ascii="仿宋_GB2312" w:hAnsi="仿宋_GB2312" w:eastAsia="仿宋_GB2312" w:cs="仿宋_GB2312"/>
                <w:sz w:val="21"/>
                <w:szCs w:val="21"/>
                <w:vertAlign w:val="baseline"/>
                <w:lang w:eastAsia="zh-CN"/>
              </w:rPr>
              <w:t>一般检查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4" w:hRule="atLeast"/>
        </w:trPr>
        <w:tc>
          <w:tcPr>
            <w:tcW w:w="634" w:type="dxa"/>
            <w:noWrap w:val="0"/>
            <w:vAlign w:val="center"/>
          </w:tcPr>
          <w:p>
            <w:pPr>
              <w:jc w:val="center"/>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w:t>
            </w:r>
          </w:p>
        </w:tc>
        <w:tc>
          <w:tcPr>
            <w:tcW w:w="933" w:type="dxa"/>
            <w:noWrap w:val="0"/>
            <w:vAlign w:val="center"/>
          </w:tcPr>
          <w:p>
            <w:pPr>
              <w:jc w:val="center"/>
              <w:rPr>
                <w:rFonts w:hint="eastAsia" w:ascii="仿宋_GB2312" w:hAnsi="仿宋_GB2312" w:eastAsia="仿宋_GB2312" w:cs="仿宋_GB2312"/>
                <w:sz w:val="21"/>
                <w:szCs w:val="21"/>
                <w:vertAlign w:val="baseline"/>
                <w:lang w:eastAsia="zh-CN"/>
              </w:rPr>
            </w:pPr>
            <w:r>
              <w:rPr>
                <w:rFonts w:hint="eastAsia" w:ascii="仿宋_GB2312" w:hAnsi="仿宋_GB2312" w:eastAsia="仿宋_GB2312" w:cs="仿宋_GB2312"/>
                <w:sz w:val="21"/>
                <w:szCs w:val="21"/>
                <w:vertAlign w:val="baseline"/>
                <w:lang w:eastAsia="zh-CN"/>
              </w:rPr>
              <w:t>网络数据安全检查评估</w:t>
            </w:r>
          </w:p>
        </w:tc>
        <w:tc>
          <w:tcPr>
            <w:tcW w:w="5285" w:type="dxa"/>
            <w:noWrap w:val="0"/>
            <w:vAlign w:val="center"/>
          </w:tcPr>
          <w:p>
            <w:pPr>
              <w:jc w:val="left"/>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lang w:val="en-US" w:eastAsia="zh-CN"/>
              </w:rPr>
              <w:t>1.</w:t>
            </w:r>
            <w:r>
              <w:rPr>
                <w:rFonts w:hint="eastAsia" w:ascii="仿宋_GB2312" w:hAnsi="仿宋_GB2312" w:eastAsia="仿宋_GB2312" w:cs="仿宋_GB2312"/>
                <w:sz w:val="21"/>
                <w:szCs w:val="21"/>
                <w:vertAlign w:val="baseline"/>
              </w:rPr>
              <w:t>《网络安全法》第八条</w:t>
            </w:r>
            <w:r>
              <w:rPr>
                <w:rFonts w:hint="eastAsia" w:ascii="仿宋_GB2312" w:hAnsi="仿宋_GB2312" w:eastAsia="仿宋_GB2312" w:cs="仿宋_GB2312"/>
                <w:sz w:val="21"/>
                <w:szCs w:val="21"/>
                <w:vertAlign w:val="baseline"/>
                <w:lang w:eastAsia="zh-CN"/>
              </w:rPr>
              <w:t>“</w:t>
            </w:r>
            <w:r>
              <w:rPr>
                <w:rFonts w:hint="eastAsia" w:ascii="仿宋_GB2312" w:hAnsi="仿宋_GB2312" w:eastAsia="仿宋_GB2312" w:cs="仿宋_GB2312"/>
                <w:sz w:val="21"/>
                <w:szCs w:val="21"/>
                <w:vertAlign w:val="baseline"/>
              </w:rPr>
              <w:t>国家网信部门负责统筹协调网络安全工作和相关监督管理工作。</w:t>
            </w:r>
            <w:r>
              <w:rPr>
                <w:rFonts w:hint="eastAsia" w:ascii="仿宋_GB2312" w:hAnsi="仿宋_GB2312" w:eastAsia="仿宋_GB2312" w:cs="仿宋_GB2312"/>
                <w:sz w:val="21"/>
                <w:szCs w:val="21"/>
                <w:vertAlign w:val="baseline"/>
                <w:lang w:eastAsia="zh-CN"/>
              </w:rPr>
              <w:t>”</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w:t>
            </w:r>
            <w:r>
              <w:rPr>
                <w:rFonts w:hint="eastAsia" w:ascii="仿宋_GB2312" w:hAnsi="仿宋_GB2312" w:eastAsia="仿宋_GB2312" w:cs="仿宋_GB2312"/>
                <w:sz w:val="21"/>
                <w:szCs w:val="21"/>
                <w:vertAlign w:val="baseline"/>
              </w:rPr>
              <w:t>《数据安全法》第六条</w:t>
            </w:r>
            <w:r>
              <w:rPr>
                <w:rFonts w:hint="eastAsia" w:ascii="仿宋_GB2312" w:hAnsi="仿宋_GB2312" w:eastAsia="仿宋_GB2312" w:cs="仿宋_GB2312"/>
                <w:sz w:val="21"/>
                <w:szCs w:val="21"/>
                <w:vertAlign w:val="baseline"/>
                <w:lang w:val="en-US" w:eastAsia="zh-CN"/>
              </w:rPr>
              <w:t>“国家网信部门依照本法和有关法律、行政法规的规定，负责统筹协调网络数据安全和相关监管工作。”</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3.《个人信息保护法》第六十条“国家网信部门负责统筹协调个人信息保护工作和相关监督管理工作。”</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4.《网络数据安全管理条例》第四十七条“国家网信部门负责统筹协调网络数据安全和相关监督管理工作。”</w:t>
            </w:r>
          </w:p>
          <w:p>
            <w:pPr>
              <w:jc w:val="left"/>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 xml:space="preserve">5.《湖南省网络安全和信息化条例》第十四条“县级以上网信、工业和信息化、公安、保密、密码管理等部门和国家安全机关、省通信管理机构依照有关法律、行政法规的规定，在各自职责范围内负责网络安全、数据安全、个人信息保护和相关监督管理工作。”  </w:t>
            </w:r>
          </w:p>
        </w:tc>
        <w:tc>
          <w:tcPr>
            <w:tcW w:w="1419" w:type="dxa"/>
            <w:noWrap w:val="0"/>
            <w:vAlign w:val="center"/>
          </w:tcPr>
          <w:p>
            <w:pPr>
              <w:jc w:val="center"/>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金融、能源、交通、电力、通信、医疗、教育、</w:t>
            </w:r>
            <w:r>
              <w:rPr>
                <w:rFonts w:hint="eastAsia" w:ascii="仿宋_GB2312" w:hAnsi="仿宋_GB2312" w:eastAsia="仿宋_GB2312" w:cs="仿宋_GB2312"/>
                <w:sz w:val="21"/>
                <w:szCs w:val="21"/>
                <w:vertAlign w:val="baseline"/>
                <w:lang w:eastAsia="zh-CN"/>
              </w:rPr>
              <w:t>广电、传媒</w:t>
            </w:r>
            <w:r>
              <w:rPr>
                <w:rFonts w:hint="eastAsia" w:ascii="仿宋_GB2312" w:hAnsi="仿宋_GB2312" w:eastAsia="仿宋_GB2312" w:cs="仿宋_GB2312"/>
                <w:sz w:val="21"/>
                <w:szCs w:val="21"/>
                <w:vertAlign w:val="baseline"/>
              </w:rPr>
              <w:t>等</w:t>
            </w:r>
            <w:r>
              <w:rPr>
                <w:rFonts w:hint="eastAsia" w:ascii="仿宋_GB2312" w:hAnsi="仿宋_GB2312" w:eastAsia="仿宋_GB2312" w:cs="仿宋_GB2312"/>
                <w:sz w:val="21"/>
                <w:szCs w:val="21"/>
                <w:vertAlign w:val="baseline"/>
                <w:lang w:eastAsia="zh-CN"/>
              </w:rPr>
              <w:t>行业企业</w:t>
            </w:r>
            <w:r>
              <w:rPr>
                <w:rFonts w:hint="eastAsia" w:ascii="仿宋_GB2312" w:hAnsi="仿宋_GB2312" w:eastAsia="仿宋_GB2312" w:cs="仿宋_GB2312"/>
                <w:sz w:val="21"/>
                <w:szCs w:val="21"/>
                <w:vertAlign w:val="baseline"/>
              </w:rPr>
              <w:t>。</w:t>
            </w:r>
          </w:p>
        </w:tc>
        <w:tc>
          <w:tcPr>
            <w:tcW w:w="1172" w:type="dxa"/>
            <w:noWrap w:val="0"/>
            <w:vAlign w:val="center"/>
          </w:tcPr>
          <w:p>
            <w:pPr>
              <w:numPr>
                <w:ilvl w:val="0"/>
                <w:numId w:val="0"/>
              </w:numPr>
              <w:jc w:val="center"/>
              <w:rPr>
                <w:rFonts w:hint="eastAsia" w:ascii="仿宋_GB2312" w:hAnsi="仿宋_GB2312" w:eastAsia="仿宋_GB2312" w:cs="仿宋_GB2312"/>
                <w:sz w:val="21"/>
                <w:szCs w:val="21"/>
                <w:vertAlign w:val="baseline"/>
                <w:lang w:eastAsia="zh-CN"/>
              </w:rPr>
            </w:pPr>
            <w:r>
              <w:rPr>
                <w:rFonts w:hint="eastAsia" w:ascii="仿宋_GB2312" w:hAnsi="仿宋_GB2312" w:eastAsia="仿宋_GB2312" w:cs="仿宋_GB2312"/>
                <w:sz w:val="21"/>
                <w:szCs w:val="21"/>
                <w:vertAlign w:val="baseline"/>
              </w:rPr>
              <w:t>网络安全</w:t>
            </w:r>
            <w:r>
              <w:rPr>
                <w:rFonts w:hint="eastAsia" w:ascii="仿宋_GB2312" w:hAnsi="仿宋_GB2312" w:eastAsia="仿宋_GB2312" w:cs="仿宋_GB2312"/>
                <w:sz w:val="21"/>
                <w:szCs w:val="21"/>
                <w:vertAlign w:val="baseline"/>
                <w:lang w:eastAsia="zh-CN"/>
              </w:rPr>
              <w:t>检查；网络数据安全检查；个人信息保护检查</w:t>
            </w:r>
          </w:p>
        </w:tc>
        <w:tc>
          <w:tcPr>
            <w:tcW w:w="1050" w:type="dxa"/>
            <w:noWrap w:val="0"/>
            <w:vAlign w:val="center"/>
          </w:tcPr>
          <w:p>
            <w:pPr>
              <w:jc w:val="center"/>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不定期</w:t>
            </w:r>
          </w:p>
        </w:tc>
        <w:tc>
          <w:tcPr>
            <w:tcW w:w="784" w:type="dxa"/>
            <w:noWrap w:val="0"/>
            <w:vAlign w:val="center"/>
          </w:tcPr>
          <w:p>
            <w:pPr>
              <w:jc w:val="center"/>
              <w:rPr>
                <w:rFonts w:hint="eastAsia" w:ascii="仿宋_GB2312" w:hAnsi="仿宋_GB2312" w:eastAsia="仿宋_GB2312" w:cs="仿宋_GB2312"/>
                <w:sz w:val="21"/>
                <w:szCs w:val="21"/>
                <w:vertAlign w:val="baseline"/>
                <w:lang w:eastAsia="zh-CN"/>
              </w:rPr>
            </w:pPr>
            <w:r>
              <w:rPr>
                <w:rFonts w:hint="eastAsia" w:ascii="仿宋_GB2312" w:hAnsi="仿宋_GB2312" w:eastAsia="仿宋_GB2312" w:cs="仿宋_GB2312"/>
                <w:sz w:val="21"/>
                <w:szCs w:val="21"/>
                <w:vertAlign w:val="baseline"/>
                <w:lang w:eastAsia="zh-CN"/>
              </w:rPr>
              <w:t>现场检查和非现场检查相结合</w:t>
            </w:r>
          </w:p>
        </w:tc>
        <w:tc>
          <w:tcPr>
            <w:tcW w:w="894" w:type="dxa"/>
            <w:noWrap w:val="0"/>
            <w:vAlign w:val="center"/>
          </w:tcPr>
          <w:p>
            <w:pPr>
              <w:jc w:val="center"/>
              <w:rPr>
                <w:rFonts w:hint="default" w:ascii="仿宋_GB2312" w:hAnsi="仿宋_GB2312" w:eastAsia="仿宋_GB2312" w:cs="仿宋_GB2312"/>
                <w:sz w:val="21"/>
                <w:szCs w:val="21"/>
                <w:vertAlign w:val="baseline"/>
                <w:lang w:val="en" w:eastAsia="zh-CN"/>
              </w:rPr>
            </w:pPr>
            <w:r>
              <w:rPr>
                <w:rFonts w:hint="default" w:ascii="仿宋_GB2312" w:hAnsi="仿宋_GB2312" w:eastAsia="仿宋_GB2312" w:cs="仿宋_GB2312"/>
                <w:sz w:val="21"/>
                <w:szCs w:val="21"/>
                <w:vertAlign w:val="baseline"/>
                <w:lang w:val="en" w:eastAsia="zh-CN"/>
              </w:rPr>
              <w:t>1</w:t>
            </w:r>
          </w:p>
        </w:tc>
        <w:tc>
          <w:tcPr>
            <w:tcW w:w="1186" w:type="dxa"/>
            <w:noWrap w:val="0"/>
            <w:vAlign w:val="center"/>
          </w:tcPr>
          <w:p>
            <w:pPr>
              <w:jc w:val="center"/>
              <w:rPr>
                <w:rFonts w:hint="eastAsia" w:ascii="仿宋_GB2312" w:hAnsi="仿宋_GB2312" w:eastAsia="仿宋_GB2312" w:cs="仿宋_GB2312"/>
                <w:sz w:val="21"/>
                <w:szCs w:val="21"/>
                <w:vertAlign w:val="baseline"/>
                <w:lang w:eastAsia="zh-CN"/>
              </w:rPr>
            </w:pPr>
            <w:r>
              <w:rPr>
                <w:rFonts w:hint="eastAsia" w:ascii="仿宋_GB2312" w:hAnsi="仿宋_GB2312" w:eastAsia="仿宋_GB2312" w:cs="仿宋_GB2312"/>
                <w:sz w:val="21"/>
                <w:szCs w:val="21"/>
                <w:vertAlign w:val="baseline"/>
                <w:lang w:eastAsia="zh-CN"/>
              </w:rPr>
              <w:t>常德市互联网信息办公室网络安全协调与信息化发展科、网络综合治理与执法监督科、县市区网信办承担网络安全和网络执法监督职能的股室</w:t>
            </w:r>
          </w:p>
        </w:tc>
        <w:tc>
          <w:tcPr>
            <w:tcW w:w="1077" w:type="dxa"/>
            <w:noWrap w:val="0"/>
            <w:vAlign w:val="center"/>
          </w:tcPr>
          <w:p>
            <w:pPr>
              <w:jc w:val="center"/>
              <w:rPr>
                <w:rFonts w:hint="eastAsia" w:ascii="仿宋_GB2312" w:hAnsi="仿宋_GB2312" w:eastAsia="仿宋_GB2312" w:cs="仿宋_GB2312"/>
                <w:sz w:val="21"/>
                <w:szCs w:val="21"/>
                <w:vertAlign w:val="baseline"/>
                <w:lang w:eastAsia="zh-CN"/>
              </w:rPr>
            </w:pPr>
            <w:r>
              <w:rPr>
                <w:rFonts w:hint="eastAsia" w:ascii="仿宋_GB2312" w:hAnsi="仿宋_GB2312" w:eastAsia="仿宋_GB2312" w:cs="仿宋_GB2312"/>
                <w:sz w:val="21"/>
                <w:szCs w:val="21"/>
                <w:vertAlign w:val="baseline"/>
                <w:lang w:eastAsia="zh-CN"/>
              </w:rPr>
              <w:t>否</w:t>
            </w:r>
          </w:p>
        </w:tc>
        <w:tc>
          <w:tcPr>
            <w:tcW w:w="821" w:type="dxa"/>
            <w:noWrap w:val="0"/>
            <w:vAlign w:val="center"/>
          </w:tcPr>
          <w:p>
            <w:pPr>
              <w:jc w:val="center"/>
              <w:rPr>
                <w:rFonts w:hint="eastAsia" w:ascii="仿宋_GB2312" w:hAnsi="仿宋_GB2312" w:eastAsia="仿宋_GB2312" w:cs="仿宋_GB2312"/>
                <w:sz w:val="21"/>
                <w:szCs w:val="21"/>
                <w:vertAlign w:val="baseline"/>
                <w:lang w:eastAsia="zh-CN"/>
              </w:rPr>
            </w:pPr>
            <w:r>
              <w:rPr>
                <w:rFonts w:hint="eastAsia" w:ascii="仿宋_GB2312" w:hAnsi="仿宋_GB2312" w:eastAsia="仿宋_GB2312" w:cs="仿宋_GB2312"/>
                <w:sz w:val="21"/>
                <w:szCs w:val="21"/>
                <w:vertAlign w:val="baseline"/>
                <w:lang w:eastAsia="zh-CN"/>
              </w:rPr>
              <w:t>一般</w:t>
            </w:r>
          </w:p>
          <w:p>
            <w:pPr>
              <w:jc w:val="center"/>
              <w:rPr>
                <w:rFonts w:hint="eastAsia" w:ascii="仿宋_GB2312" w:hAnsi="仿宋_GB2312" w:eastAsia="仿宋_GB2312" w:cs="仿宋_GB2312"/>
                <w:sz w:val="21"/>
                <w:szCs w:val="21"/>
                <w:vertAlign w:val="baseline"/>
                <w:lang w:eastAsia="zh-CN"/>
              </w:rPr>
            </w:pPr>
            <w:r>
              <w:rPr>
                <w:rFonts w:hint="eastAsia" w:ascii="仿宋_GB2312" w:hAnsi="仿宋_GB2312" w:eastAsia="仿宋_GB2312" w:cs="仿宋_GB2312"/>
                <w:sz w:val="21"/>
                <w:szCs w:val="21"/>
                <w:vertAlign w:val="baseline"/>
                <w:lang w:eastAsia="zh-CN"/>
              </w:rPr>
              <w:t>检查</w:t>
            </w:r>
          </w:p>
          <w:p>
            <w:pPr>
              <w:jc w:val="center"/>
              <w:rPr>
                <w:rFonts w:hint="eastAsia" w:ascii="仿宋_GB2312" w:hAnsi="仿宋_GB2312" w:eastAsia="仿宋_GB2312" w:cs="仿宋_GB2312"/>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2" w:hRule="atLeast"/>
        </w:trPr>
        <w:tc>
          <w:tcPr>
            <w:tcW w:w="634" w:type="dxa"/>
            <w:noWrap w:val="0"/>
            <w:vAlign w:val="center"/>
          </w:tcPr>
          <w:p>
            <w:pPr>
              <w:jc w:val="center"/>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w:t>
            </w:r>
          </w:p>
        </w:tc>
        <w:tc>
          <w:tcPr>
            <w:tcW w:w="933" w:type="dxa"/>
            <w:noWrap w:val="0"/>
            <w:vAlign w:val="center"/>
          </w:tcPr>
          <w:p>
            <w:pPr>
              <w:jc w:val="center"/>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网络关键设备和网络安全专用产品执法检查</w:t>
            </w:r>
          </w:p>
        </w:tc>
        <w:tc>
          <w:tcPr>
            <w:tcW w:w="5285" w:type="dxa"/>
            <w:noWrap w:val="0"/>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仿宋_GB2312" w:hAnsi="仿宋_GB2312" w:eastAsia="仿宋_GB2312" w:cs="仿宋_GB2312"/>
                <w:sz w:val="21"/>
                <w:szCs w:val="21"/>
                <w:vertAlign w:val="baseline"/>
                <w:lang w:val="en" w:eastAsia="zh-CN"/>
              </w:rPr>
            </w:pPr>
            <w:r>
              <w:rPr>
                <w:rFonts w:hint="eastAsia" w:ascii="仿宋_GB2312" w:hAnsi="仿宋_GB2312" w:eastAsia="仿宋_GB2312" w:cs="仿宋_GB2312"/>
                <w:sz w:val="21"/>
                <w:szCs w:val="21"/>
                <w:vertAlign w:val="baseline"/>
                <w:lang w:val="en-US" w:eastAsia="zh-CN"/>
              </w:rPr>
              <w:t>1.《网络安全法》第二十三条“网络关键设备和网络安全专用产品应当按照相关国家标准的强制性要求，由具备资格的机构安全认证合格或者安全检测符合要求后，方可销售或者提供。国家网信部门会同国务院有关部门制定、公布网络关键设备和网络安全专用产品目录，并推动安全认证和安全检测结果互认，避免重复认证、检测。”</w:t>
            </w:r>
            <w:r>
              <w:rPr>
                <w:rFonts w:hint="default" w:ascii="仿宋_GB2312" w:hAnsi="仿宋_GB2312" w:eastAsia="仿宋_GB2312" w:cs="仿宋_GB2312"/>
                <w:sz w:val="21"/>
                <w:szCs w:val="21"/>
                <w:vertAlign w:val="baseline"/>
                <w:lang w:val="en-US" w:eastAsia="zh-CN"/>
              </w:rPr>
              <w:t>第三十五条</w:t>
            </w:r>
            <w:r>
              <w:rPr>
                <w:rFonts w:hint="eastAsia" w:ascii="仿宋_GB2312" w:hAnsi="仿宋_GB2312" w:eastAsia="仿宋_GB2312" w:cs="仿宋_GB2312"/>
                <w:sz w:val="21"/>
                <w:szCs w:val="21"/>
                <w:vertAlign w:val="baseline"/>
                <w:lang w:val="en" w:eastAsia="zh-CN"/>
              </w:rPr>
              <w:t>“</w:t>
            </w:r>
            <w:r>
              <w:rPr>
                <w:rFonts w:hint="default" w:ascii="仿宋_GB2312" w:hAnsi="仿宋_GB2312" w:eastAsia="仿宋_GB2312" w:cs="仿宋_GB2312"/>
                <w:sz w:val="21"/>
                <w:szCs w:val="21"/>
                <w:vertAlign w:val="baseline"/>
                <w:lang w:val="en-US" w:eastAsia="zh-CN"/>
              </w:rPr>
              <w:t>关键信息基础设施的运营者采购网络产品和服务，可能影响国家安全的，应当通过国家网信部门会同国务院有关部门组织的国家安全审查。</w:t>
            </w:r>
            <w:r>
              <w:rPr>
                <w:rFonts w:hint="default" w:ascii="仿宋_GB2312" w:hAnsi="仿宋_GB2312" w:eastAsia="仿宋_GB2312" w:cs="仿宋_GB2312"/>
                <w:sz w:val="21"/>
                <w:szCs w:val="21"/>
                <w:vertAlign w:val="baseline"/>
                <w:lang w:val="en" w:eastAsia="zh-CN"/>
              </w:rPr>
              <w:t>”</w:t>
            </w:r>
          </w:p>
          <w:p>
            <w:pPr>
              <w:keepNext w:val="0"/>
              <w:keepLines w:val="0"/>
              <w:pageBreakBefore w:val="0"/>
              <w:widowControl w:val="0"/>
              <w:kinsoku/>
              <w:wordWrap/>
              <w:overflowPunct/>
              <w:topLinePunct w:val="0"/>
              <w:autoSpaceDE/>
              <w:autoSpaceDN/>
              <w:bidi w:val="0"/>
              <w:adjustRightInd/>
              <w:snapToGrid/>
              <w:jc w:val="left"/>
              <w:textAlignment w:val="auto"/>
              <w:rPr>
                <w:rFonts w:hint="default" w:ascii="仿宋_GB2312" w:hAnsi="仿宋_GB2312" w:eastAsia="仿宋_GB2312" w:cs="仿宋_GB2312"/>
                <w:sz w:val="21"/>
                <w:szCs w:val="21"/>
                <w:vertAlign w:val="baseline"/>
                <w:lang w:val="en" w:eastAsia="zh-CN"/>
              </w:rPr>
            </w:pPr>
            <w:r>
              <w:rPr>
                <w:rFonts w:hint="default" w:ascii="仿宋_GB2312" w:hAnsi="仿宋_GB2312" w:eastAsia="仿宋_GB2312" w:cs="仿宋_GB2312"/>
                <w:sz w:val="21"/>
                <w:szCs w:val="21"/>
                <w:vertAlign w:val="baseline"/>
                <w:lang w:val="en-US" w:eastAsia="zh-CN"/>
              </w:rPr>
              <w:t>2.《关键信息基础设施安全保护条例》第二十七条</w:t>
            </w:r>
            <w:r>
              <w:rPr>
                <w:rFonts w:hint="eastAsia" w:ascii="仿宋_GB2312" w:hAnsi="仿宋_GB2312" w:eastAsia="仿宋_GB2312" w:cs="仿宋_GB2312"/>
                <w:sz w:val="21"/>
                <w:szCs w:val="21"/>
                <w:vertAlign w:val="baseline"/>
                <w:lang w:val="en" w:eastAsia="zh-CN"/>
              </w:rPr>
              <w:t>“</w:t>
            </w:r>
            <w:r>
              <w:rPr>
                <w:rFonts w:hint="default" w:ascii="仿宋_GB2312" w:hAnsi="仿宋_GB2312" w:eastAsia="仿宋_GB2312" w:cs="仿宋_GB2312"/>
                <w:sz w:val="21"/>
                <w:szCs w:val="21"/>
                <w:vertAlign w:val="baseline"/>
                <w:lang w:val="en-US" w:eastAsia="zh-CN"/>
              </w:rPr>
              <w:t>国家网信部门统筹协调国务院公安部门、保护工作部门对关键信息基础设施进行网络安全检查检测，提出改进措施。</w:t>
            </w:r>
            <w:r>
              <w:rPr>
                <w:rFonts w:hint="default" w:ascii="仿宋_GB2312" w:hAnsi="仿宋_GB2312" w:eastAsia="仿宋_GB2312" w:cs="仿宋_GB2312"/>
                <w:sz w:val="21"/>
                <w:szCs w:val="21"/>
                <w:vertAlign w:val="baseline"/>
                <w:lang w:val="en" w:eastAsia="zh-CN"/>
              </w:rPr>
              <w:t>”</w:t>
            </w:r>
          </w:p>
          <w:p>
            <w:pPr>
              <w:keepNext w:val="0"/>
              <w:keepLines w:val="0"/>
              <w:pageBreakBefore w:val="0"/>
              <w:widowControl w:val="0"/>
              <w:kinsoku/>
              <w:wordWrap/>
              <w:overflowPunct/>
              <w:topLinePunct w:val="0"/>
              <w:autoSpaceDE/>
              <w:autoSpaceDN/>
              <w:bidi w:val="0"/>
              <w:adjustRightInd/>
              <w:snapToGrid/>
              <w:jc w:val="left"/>
              <w:textAlignment w:val="auto"/>
              <w:rPr>
                <w:rFonts w:hint="default"/>
                <w:lang w:val="en-US" w:eastAsia="zh-CN"/>
              </w:rPr>
            </w:pPr>
            <w:r>
              <w:rPr>
                <w:rFonts w:hint="default" w:ascii="仿宋_GB2312" w:hAnsi="仿宋_GB2312" w:eastAsia="仿宋_GB2312" w:cs="仿宋_GB2312"/>
                <w:sz w:val="21"/>
                <w:szCs w:val="21"/>
                <w:vertAlign w:val="baseline"/>
                <w:lang w:val="en-US" w:eastAsia="zh-CN"/>
              </w:rPr>
              <w:t>3.《湖南省网络安全和信息化条例》第十四条</w:t>
            </w:r>
            <w:r>
              <w:rPr>
                <w:rFonts w:hint="eastAsia" w:ascii="仿宋_GB2312" w:hAnsi="仿宋_GB2312" w:eastAsia="仿宋_GB2312" w:cs="仿宋_GB2312"/>
                <w:sz w:val="21"/>
                <w:szCs w:val="21"/>
                <w:vertAlign w:val="baseline"/>
                <w:lang w:val="en-US" w:eastAsia="zh-CN"/>
              </w:rPr>
              <w:t>“</w:t>
            </w:r>
            <w:r>
              <w:rPr>
                <w:rFonts w:hint="default" w:ascii="仿宋_GB2312" w:hAnsi="仿宋_GB2312" w:eastAsia="仿宋_GB2312" w:cs="仿宋_GB2312"/>
                <w:sz w:val="21"/>
                <w:szCs w:val="21"/>
                <w:vertAlign w:val="baseline"/>
                <w:lang w:val="en-US" w:eastAsia="zh-CN"/>
              </w:rPr>
              <w:t>县级以上网信、工业和信息化、公安、保密、密码管理等部门和国家安全机关、省通信管理机构依照有关法律、行政法规的规定，在各自职责范围内负责网络安全、数据安全、个人信息保护和相关监督管理工作。</w:t>
            </w:r>
            <w:r>
              <w:rPr>
                <w:rFonts w:hint="eastAsia" w:ascii="仿宋_GB2312" w:hAnsi="仿宋_GB2312" w:eastAsia="仿宋_GB2312" w:cs="仿宋_GB2312"/>
                <w:sz w:val="21"/>
                <w:szCs w:val="21"/>
                <w:vertAlign w:val="baseline"/>
                <w:lang w:val="en-US" w:eastAsia="zh-CN"/>
              </w:rPr>
              <w:t>”</w:t>
            </w:r>
            <w:r>
              <w:rPr>
                <w:rFonts w:hint="default" w:ascii="仿宋_GB2312" w:hAnsi="仿宋_GB2312" w:eastAsia="仿宋_GB2312" w:cs="仿宋_GB2312"/>
                <w:sz w:val="21"/>
                <w:szCs w:val="21"/>
                <w:vertAlign w:val="baseline"/>
                <w:lang w:val="en-US" w:eastAsia="zh-CN"/>
              </w:rPr>
              <w:t>第十九条</w:t>
            </w:r>
            <w:r>
              <w:rPr>
                <w:rFonts w:hint="eastAsia" w:ascii="仿宋_GB2312" w:hAnsi="仿宋_GB2312" w:eastAsia="仿宋_GB2312" w:cs="仿宋_GB2312"/>
                <w:sz w:val="21"/>
                <w:szCs w:val="21"/>
                <w:vertAlign w:val="baseline"/>
                <w:lang w:val="en-US" w:eastAsia="zh-CN"/>
              </w:rPr>
              <w:t>“</w:t>
            </w:r>
            <w:r>
              <w:rPr>
                <w:rFonts w:hint="default" w:ascii="仿宋_GB2312" w:hAnsi="仿宋_GB2312" w:eastAsia="仿宋_GB2312" w:cs="仿宋_GB2312"/>
                <w:sz w:val="21"/>
                <w:szCs w:val="21"/>
                <w:vertAlign w:val="baseline"/>
                <w:lang w:val="en-US" w:eastAsia="zh-CN"/>
              </w:rPr>
              <w:t>省和设区的市、自治州网信部门应当统筹协调有关部门对重要信息系统的安全保护采取下列措施：（一）建立网络安全信息共享机制，促进有关部门、运营者以及网络安全服务机构等之间的网络安全信息共享；（二）对重要信息系统安全风险进行抽查检测，提出改进措施，必要时可以委托网络安全服务机构对网络存在的安全风险进行检测评估；（三）定期组织重要信息系统运营者进行网络安全应急演练；（四）对网络安全事件应急处置与网络功能的恢复等，提供技术支持和协助。</w:t>
            </w:r>
            <w:r>
              <w:rPr>
                <w:rFonts w:hint="eastAsia" w:ascii="仿宋_GB2312" w:hAnsi="仿宋_GB2312" w:eastAsia="仿宋_GB2312" w:cs="仿宋_GB2312"/>
                <w:sz w:val="21"/>
                <w:szCs w:val="21"/>
                <w:vertAlign w:val="baseline"/>
                <w:lang w:val="en-US" w:eastAsia="zh-CN"/>
              </w:rPr>
              <w:t>”</w:t>
            </w:r>
          </w:p>
        </w:tc>
        <w:tc>
          <w:tcPr>
            <w:tcW w:w="1419" w:type="dxa"/>
            <w:noWrap w:val="0"/>
            <w:vAlign w:val="center"/>
          </w:tcPr>
          <w:p>
            <w:pPr>
              <w:jc w:val="center"/>
              <w:rPr>
                <w:rFonts w:hint="eastAsia" w:ascii="仿宋_GB2312" w:hAnsi="仿宋_GB2312" w:eastAsia="仿宋_GB2312" w:cs="仿宋_GB2312"/>
                <w:sz w:val="21"/>
                <w:szCs w:val="21"/>
                <w:vertAlign w:val="baseline"/>
                <w:lang w:eastAsia="zh-CN"/>
              </w:rPr>
            </w:pPr>
            <w:r>
              <w:rPr>
                <w:rFonts w:hint="eastAsia" w:ascii="仿宋_GB2312" w:hAnsi="仿宋_GB2312" w:eastAsia="仿宋_GB2312" w:cs="仿宋_GB2312"/>
                <w:sz w:val="21"/>
                <w:szCs w:val="21"/>
                <w:vertAlign w:val="baseline"/>
                <w:lang w:val="en-US" w:eastAsia="zh-CN"/>
              </w:rPr>
              <w:t>网络关键设备和网络安全专用产品生产、销售、提供企业</w:t>
            </w:r>
          </w:p>
        </w:tc>
        <w:tc>
          <w:tcPr>
            <w:tcW w:w="1172" w:type="dxa"/>
            <w:noWrap w:val="0"/>
            <w:vAlign w:val="center"/>
          </w:tcPr>
          <w:p>
            <w:pPr>
              <w:jc w:val="center"/>
              <w:rPr>
                <w:rFonts w:hint="eastAsia" w:ascii="仿宋_GB2312" w:hAnsi="仿宋_GB2312" w:eastAsia="仿宋_GB2312" w:cs="仿宋_GB2312"/>
                <w:sz w:val="21"/>
                <w:szCs w:val="21"/>
                <w:vertAlign w:val="baseline"/>
                <w:lang w:eastAsia="zh-CN"/>
              </w:rPr>
            </w:pPr>
            <w:r>
              <w:rPr>
                <w:rFonts w:hint="eastAsia" w:ascii="仿宋_GB2312" w:hAnsi="仿宋_GB2312" w:eastAsia="仿宋_GB2312" w:cs="仿宋_GB2312"/>
                <w:sz w:val="21"/>
                <w:szCs w:val="21"/>
                <w:vertAlign w:val="baseline"/>
                <w:lang w:eastAsia="zh-CN"/>
              </w:rPr>
              <w:t>是否符合安全认证和安全检测要求</w:t>
            </w:r>
          </w:p>
        </w:tc>
        <w:tc>
          <w:tcPr>
            <w:tcW w:w="1050" w:type="dxa"/>
            <w:noWrap w:val="0"/>
            <w:vAlign w:val="center"/>
          </w:tcPr>
          <w:p>
            <w:pPr>
              <w:jc w:val="center"/>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不定期</w:t>
            </w:r>
          </w:p>
        </w:tc>
        <w:tc>
          <w:tcPr>
            <w:tcW w:w="784" w:type="dxa"/>
            <w:noWrap w:val="0"/>
            <w:vAlign w:val="center"/>
          </w:tcPr>
          <w:p>
            <w:pPr>
              <w:jc w:val="center"/>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eastAsia="zh-CN"/>
              </w:rPr>
              <w:t>现场检查和非现场检查相结合</w:t>
            </w:r>
          </w:p>
        </w:tc>
        <w:tc>
          <w:tcPr>
            <w:tcW w:w="894" w:type="dxa"/>
            <w:noWrap w:val="0"/>
            <w:vAlign w:val="center"/>
          </w:tcPr>
          <w:p>
            <w:pPr>
              <w:jc w:val="center"/>
              <w:rPr>
                <w:rFonts w:hint="default" w:ascii="仿宋_GB2312" w:hAnsi="仿宋_GB2312" w:eastAsia="仿宋_GB2312" w:cs="仿宋_GB2312"/>
                <w:sz w:val="21"/>
                <w:szCs w:val="21"/>
                <w:vertAlign w:val="baseline"/>
                <w:lang w:val="en" w:eastAsia="zh-CN"/>
              </w:rPr>
            </w:pPr>
            <w:r>
              <w:rPr>
                <w:rFonts w:hint="default" w:ascii="仿宋_GB2312" w:hAnsi="仿宋_GB2312" w:eastAsia="仿宋_GB2312" w:cs="仿宋_GB2312"/>
                <w:sz w:val="21"/>
                <w:szCs w:val="21"/>
                <w:vertAlign w:val="baseline"/>
                <w:lang w:val="en" w:eastAsia="zh-CN"/>
              </w:rPr>
              <w:t>1</w:t>
            </w:r>
          </w:p>
        </w:tc>
        <w:tc>
          <w:tcPr>
            <w:tcW w:w="1186" w:type="dxa"/>
            <w:noWrap w:val="0"/>
            <w:vAlign w:val="center"/>
          </w:tcPr>
          <w:p>
            <w:pPr>
              <w:jc w:val="center"/>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常德市互联网信息办公室网络安全协调与信息化发展科、网络综合治理与执法监督科、县市区网信办承担网络安全和网络执法监督职能的股室</w:t>
            </w:r>
          </w:p>
        </w:tc>
        <w:tc>
          <w:tcPr>
            <w:tcW w:w="1077" w:type="dxa"/>
            <w:noWrap w:val="0"/>
            <w:vAlign w:val="center"/>
          </w:tcPr>
          <w:p>
            <w:pPr>
              <w:jc w:val="center"/>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eastAsia="zh-CN"/>
              </w:rPr>
              <w:t>否</w:t>
            </w:r>
          </w:p>
        </w:tc>
        <w:tc>
          <w:tcPr>
            <w:tcW w:w="821" w:type="dxa"/>
            <w:noWrap w:val="0"/>
            <w:vAlign w:val="center"/>
          </w:tcPr>
          <w:p>
            <w:pPr>
              <w:jc w:val="center"/>
              <w:rPr>
                <w:rFonts w:hint="eastAsia" w:ascii="仿宋_GB2312" w:hAnsi="仿宋_GB2312" w:eastAsia="仿宋_GB2312" w:cs="仿宋_GB2312"/>
                <w:sz w:val="21"/>
                <w:szCs w:val="21"/>
                <w:vertAlign w:val="baseline"/>
                <w:lang w:eastAsia="zh-CN"/>
              </w:rPr>
            </w:pPr>
            <w:r>
              <w:rPr>
                <w:rFonts w:hint="eastAsia" w:ascii="仿宋_GB2312" w:hAnsi="仿宋_GB2312" w:eastAsia="仿宋_GB2312" w:cs="仿宋_GB2312"/>
                <w:sz w:val="21"/>
                <w:szCs w:val="21"/>
                <w:vertAlign w:val="baseline"/>
                <w:lang w:eastAsia="zh-CN"/>
              </w:rPr>
              <w:t>一般</w:t>
            </w:r>
          </w:p>
          <w:p>
            <w:pPr>
              <w:jc w:val="center"/>
              <w:rPr>
                <w:rFonts w:hint="eastAsia" w:ascii="仿宋_GB2312" w:hAnsi="仿宋_GB2312" w:eastAsia="仿宋_GB2312" w:cs="仿宋_GB2312"/>
                <w:sz w:val="21"/>
                <w:szCs w:val="21"/>
                <w:vertAlign w:val="baseline"/>
                <w:lang w:eastAsia="zh-CN"/>
              </w:rPr>
            </w:pPr>
            <w:r>
              <w:rPr>
                <w:rFonts w:hint="eastAsia" w:ascii="仿宋_GB2312" w:hAnsi="仿宋_GB2312" w:eastAsia="仿宋_GB2312" w:cs="仿宋_GB2312"/>
                <w:sz w:val="21"/>
                <w:szCs w:val="21"/>
                <w:vertAlign w:val="baseline"/>
                <w:lang w:eastAsia="zh-CN"/>
              </w:rPr>
              <w:t>检查</w:t>
            </w:r>
          </w:p>
          <w:p>
            <w:pPr>
              <w:jc w:val="center"/>
              <w:rPr>
                <w:rFonts w:hint="eastAsia" w:ascii="仿宋_GB2312" w:hAnsi="仿宋_GB2312" w:eastAsia="仿宋_GB2312" w:cs="仿宋_GB2312"/>
                <w:sz w:val="21"/>
                <w:szCs w:val="21"/>
                <w:vertAlign w:val="baseline"/>
                <w:lang w:val="en-US" w:eastAsia="zh-CN"/>
              </w:rPr>
            </w:pPr>
          </w:p>
        </w:tc>
      </w:tr>
    </w:tbl>
    <w:p/>
    <w:sectPr>
      <w:footerReference r:id="rId3" w:type="default"/>
      <w:pgSz w:w="16838" w:h="11906" w:orient="landscape"/>
      <w:pgMar w:top="720" w:right="720" w:bottom="72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Droid Sans Fallback"/>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黑体">
    <w:altName w:val="方正黑体_GBK"/>
    <w:panose1 w:val="02010609060101010101"/>
    <w:charset w:val="00"/>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00"/>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roid Sans Fallback">
    <w:panose1 w:val="020B0502000000000001"/>
    <w:charset w:val="86"/>
    <w:family w:val="auto"/>
    <w:pitch w:val="default"/>
    <w:sig w:usb0="910002FF" w:usb1="2BDFFCFB" w:usb2="00000036" w:usb3="00000000" w:csb0="203F01FF" w:csb1="D7FF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6"/>
                          </w:pPr>
                          <w:r>
                            <w:fldChar w:fldCharType="begin"/>
                          </w:r>
                          <w:r>
                            <w:instrText xml:space="preserve"> PAGE  \* MERGEFORMAT </w:instrText>
                          </w:r>
                          <w:r>
                            <w:fldChar w:fldCharType="separate"/>
                          </w:r>
                          <w:r>
                            <w:t>1</w:t>
                          </w:r>
                          <w:r>
                            <w:fldChar w:fldCharType="end"/>
                          </w:r>
                        </w:p>
                      </w:txbxContent>
                    </wps:txbx>
                    <wps:bodyPr vert="horz" wrap="none" lIns="0" tIns="0" rIns="0" bIns="0" anchor="t" anchorCtr="false"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zql5uc8AAAAFAQAADwAAAAAAAAABACAA&#10;AAA4AAAAZHJzL2Rvd25yZXYueG1sUEsBAhQAFAAAAAgAh07iQBCr8CPHAQAAewMAAA4AAAAAAAAA&#10;AQAgAAAANAEAAGRycy9lMm9Eb2MueG1sUEsFBgAAAAAGAAYAWQEAAG0FAAAAAA==&#10;">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bordersDoNotSurroundHeader w:val="false"/>
  <w:bordersDoNotSurroundFooter w:val="fals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EDFD169"/>
    <w:rsid w:val="1BEFD2EB"/>
    <w:rsid w:val="1FFF6F9D"/>
    <w:rsid w:val="2AABB262"/>
    <w:rsid w:val="327DD958"/>
    <w:rsid w:val="3BF9E834"/>
    <w:rsid w:val="3D7EA034"/>
    <w:rsid w:val="3EFDEEA8"/>
    <w:rsid w:val="3FAE260B"/>
    <w:rsid w:val="3FE9D7E8"/>
    <w:rsid w:val="49FA4013"/>
    <w:rsid w:val="4F942F32"/>
    <w:rsid w:val="537F0004"/>
    <w:rsid w:val="5BFF8648"/>
    <w:rsid w:val="5ECBF146"/>
    <w:rsid w:val="5EDA4CE8"/>
    <w:rsid w:val="6FFD2FE3"/>
    <w:rsid w:val="75FF9007"/>
    <w:rsid w:val="77EF0581"/>
    <w:rsid w:val="7871E32B"/>
    <w:rsid w:val="797F08B7"/>
    <w:rsid w:val="7B7FA32A"/>
    <w:rsid w:val="7C9F41ED"/>
    <w:rsid w:val="7DE410F0"/>
    <w:rsid w:val="7E6EC3F1"/>
    <w:rsid w:val="7F6A4830"/>
    <w:rsid w:val="7FD7163A"/>
    <w:rsid w:val="7FDF43E6"/>
    <w:rsid w:val="7FE34E72"/>
    <w:rsid w:val="7FEF5A3B"/>
    <w:rsid w:val="7FF3CCEF"/>
    <w:rsid w:val="9D7FD94A"/>
    <w:rsid w:val="9FE604B6"/>
    <w:rsid w:val="9FFC56D1"/>
    <w:rsid w:val="A76F04A4"/>
    <w:rsid w:val="BB9BF0F8"/>
    <w:rsid w:val="BCDF6DE3"/>
    <w:rsid w:val="BFFFD0E4"/>
    <w:rsid w:val="CFDE3F6B"/>
    <w:rsid w:val="D37EEE2D"/>
    <w:rsid w:val="D79E834C"/>
    <w:rsid w:val="D9CB0553"/>
    <w:rsid w:val="D9EB08FC"/>
    <w:rsid w:val="DDEFBEA2"/>
    <w:rsid w:val="DF5FD098"/>
    <w:rsid w:val="DFFFE670"/>
    <w:rsid w:val="EAB72837"/>
    <w:rsid w:val="EBEB66A9"/>
    <w:rsid w:val="EBFE5D40"/>
    <w:rsid w:val="ED7EE147"/>
    <w:rsid w:val="EE79BB75"/>
    <w:rsid w:val="EEC1D083"/>
    <w:rsid w:val="EFBFC56C"/>
    <w:rsid w:val="EFFBEFAF"/>
    <w:rsid w:val="EFFF41DC"/>
    <w:rsid w:val="F47FE8C0"/>
    <w:rsid w:val="F6E383AA"/>
    <w:rsid w:val="F71946C0"/>
    <w:rsid w:val="F72155B2"/>
    <w:rsid w:val="F7DB3126"/>
    <w:rsid w:val="F7F77890"/>
    <w:rsid w:val="F8E5132F"/>
    <w:rsid w:val="FAFF7C0F"/>
    <w:rsid w:val="FB5F8560"/>
    <w:rsid w:val="FCE9C843"/>
    <w:rsid w:val="FCFC87E0"/>
    <w:rsid w:val="FD996FC0"/>
    <w:rsid w:val="FDFE1CB6"/>
    <w:rsid w:val="FEDFD169"/>
    <w:rsid w:val="FF4F7640"/>
    <w:rsid w:val="FF6BC299"/>
    <w:rsid w:val="FF7F4D41"/>
    <w:rsid w:val="FFFB817B"/>
    <w:rsid w:val="FFFE960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Style w:val="8"/>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rPr>
      <w:rFonts w:ascii="Times New Roman" w:hAnsi="Times New Roman" w:eastAsia="宋体" w:cs="Times New Roman"/>
    </w:rPr>
  </w:style>
  <w:style w:type="paragraph" w:styleId="3">
    <w:name w:val="Body Text Indent"/>
    <w:basedOn w:val="1"/>
    <w:next w:val="2"/>
    <w:qFormat/>
    <w:uiPriority w:val="0"/>
    <w:pPr>
      <w:spacing w:after="120"/>
      <w:ind w:left="420" w:leftChars="200"/>
    </w:pPr>
  </w:style>
  <w:style w:type="paragraph" w:styleId="4">
    <w:name w:val="Normal Indent"/>
    <w:basedOn w:val="1"/>
    <w:next w:val="5"/>
    <w:qFormat/>
    <w:uiPriority w:val="0"/>
    <w:pPr>
      <w:widowControl/>
      <w:ind w:firstLine="420"/>
      <w:jc w:val="left"/>
    </w:pPr>
    <w:rPr>
      <w:kern w:val="0"/>
      <w:sz w:val="20"/>
      <w:szCs w:val="20"/>
    </w:rPr>
  </w:style>
  <w:style w:type="paragraph" w:customStyle="1" w:styleId="5">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uiPriority w:val="0"/>
    <w:pPr>
      <w:widowControl w:val="0"/>
      <w:jc w:val="both"/>
    </w:pPr>
    <w:tblPr>
      <w:tblStyle w:val="8"/>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100.333333333333</TotalTime>
  <ScaleCrop>false</ScaleCrop>
  <LinksUpToDate>false</LinksUpToDate>
  <CharactersWithSpaces>0</CharactersWithSpaces>
  <Application>WPS Office_11.8.2.1111_F1E327BC-269C-435d-A152-05C5408002CA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2025-03-03T01:06:00Z</dcterms:created>
  <dc:creator>greatwall</dc:creator>
  <cp:lastModifiedBy>YZH</cp:lastModifiedBy>
  <cp:lastPrinted>2025-04-07T18:10:56Z</cp:lastPrinted>
  <dcterms:modified xsi:type="dcterms:W3CDTF">2025-04-08T17:25:50Z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2052-11.8.2.1111</vt:lpwstr>
  </property>
</Properties>
</file>