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302C70">
      <w:pPr>
        <w:widowControl/>
        <w:spacing w:line="596" w:lineRule="exact"/>
        <w:rPr>
          <w:rFonts w:hint="default"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黑体" w:cs="Times New Roman"/>
          <w:szCs w:val="32"/>
        </w:rPr>
        <w:t>附件</w:t>
      </w:r>
    </w:p>
    <w:p w14:paraId="2A1EE9FD">
      <w:pPr>
        <w:spacing w:line="596" w:lineRule="exact"/>
        <w:rPr>
          <w:rFonts w:hint="default" w:ascii="Times New Roman" w:hAnsi="Times New Roman" w:eastAsia="国标仿宋-GB/T 2312" w:cs="Times New Roman"/>
          <w:b/>
          <w:bCs/>
          <w:szCs w:val="32"/>
        </w:rPr>
      </w:pPr>
    </w:p>
    <w:p w14:paraId="60DDC140">
      <w:pPr>
        <w:spacing w:line="596" w:lineRule="exact"/>
        <w:jc w:val="center"/>
        <w:rPr>
          <w:rFonts w:hint="default" w:ascii="Times New Roman" w:hAnsi="Times New Roman" w:eastAsia="方正小标宋_GBK" w:cs="Times New Roman"/>
          <w:sz w:val="42"/>
          <w:szCs w:val="44"/>
        </w:rPr>
      </w:pPr>
      <w:bookmarkStart w:id="3" w:name="_GoBack"/>
      <w:r>
        <w:rPr>
          <w:rFonts w:hint="default" w:ascii="Times New Roman" w:hAnsi="Times New Roman" w:eastAsia="方正小标宋_GBK" w:cs="Times New Roman"/>
          <w:sz w:val="42"/>
          <w:szCs w:val="44"/>
        </w:rPr>
        <w:t>湖南省“机器管招投标”有限数量入围规则</w:t>
      </w:r>
    </w:p>
    <w:bookmarkEnd w:id="3"/>
    <w:p w14:paraId="07E31A98">
      <w:pPr>
        <w:spacing w:line="596" w:lineRule="exact"/>
        <w:jc w:val="center"/>
        <w:rPr>
          <w:rFonts w:hint="default" w:ascii="Times New Roman" w:hAnsi="Times New Roman" w:eastAsia="楷体_GB2312" w:cs="Times New Roman"/>
          <w:b w:val="0"/>
          <w:bCs w:val="0"/>
          <w:spacing w:val="-20"/>
          <w:szCs w:val="32"/>
        </w:rPr>
      </w:pPr>
    </w:p>
    <w:p w14:paraId="3F5655B3">
      <w:pPr>
        <w:spacing w:line="596" w:lineRule="exact"/>
        <w:jc w:val="center"/>
        <w:rPr>
          <w:rFonts w:hint="default" w:ascii="Times New Roman" w:hAnsi="Times New Roman" w:eastAsia="楷体_GB2312" w:cs="Times New Roman"/>
          <w:b w:val="0"/>
          <w:bCs w:val="0"/>
          <w:szCs w:val="32"/>
        </w:rPr>
      </w:pPr>
      <w:r>
        <w:rPr>
          <w:rFonts w:hint="default" w:ascii="Times New Roman" w:hAnsi="Times New Roman" w:eastAsia="楷体_GB2312" w:cs="Times New Roman"/>
          <w:b w:val="0"/>
          <w:bCs w:val="0"/>
          <w:spacing w:val="-20"/>
          <w:szCs w:val="32"/>
        </w:rPr>
        <w:t>（适用于“机器管招投标”交易系统中采用合理低价法的项目）</w:t>
      </w:r>
    </w:p>
    <w:p w14:paraId="72265896">
      <w:pPr>
        <w:spacing w:line="596" w:lineRule="exact"/>
        <w:ind w:firstLine="640" w:firstLineChars="200"/>
        <w:rPr>
          <w:rFonts w:hint="default" w:ascii="Times New Roman" w:hAnsi="Times New Roman" w:eastAsia="黑体" w:cs="Times New Roman"/>
          <w:szCs w:val="32"/>
        </w:rPr>
      </w:pPr>
    </w:p>
    <w:p w14:paraId="6649C942">
      <w:pPr>
        <w:spacing w:line="596" w:lineRule="exact"/>
        <w:ind w:firstLine="640" w:firstLineChars="200"/>
        <w:rPr>
          <w:rFonts w:hint="default" w:ascii="Times New Roman" w:hAnsi="Times New Roman" w:eastAsia="黑体" w:cs="Times New Roman"/>
          <w:szCs w:val="32"/>
        </w:rPr>
      </w:pPr>
      <w:r>
        <w:rPr>
          <w:rFonts w:hint="default" w:ascii="Times New Roman" w:hAnsi="Times New Roman" w:eastAsia="黑体" w:cs="Times New Roman"/>
          <w:szCs w:val="32"/>
        </w:rPr>
        <w:t>一、入围数量的确定</w:t>
      </w:r>
    </w:p>
    <w:p w14:paraId="059E50B6">
      <w:pPr>
        <w:spacing w:line="596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Cs w:val="32"/>
        </w:rPr>
        <w:t>（一）确定入围基数</w:t>
      </w:r>
    </w:p>
    <w:p w14:paraId="76553514">
      <w:pPr>
        <w:spacing w:line="596" w:lineRule="exact"/>
        <w:ind w:firstLine="640" w:firstLineChars="200"/>
        <w:rPr>
          <w:rFonts w:hint="default"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szCs w:val="32"/>
        </w:rPr>
        <w:t>系统将自动识别已提交有效投标担保保证的投标人数量,经评标委员会确认后作为有限数量入围的基数（N），未提交有效投标担保保证的投标人由评标委员会确认否决其投标。</w:t>
      </w:r>
    </w:p>
    <w:p w14:paraId="28425F3A">
      <w:pPr>
        <w:spacing w:line="596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Cs w:val="32"/>
        </w:rPr>
        <w:t>（二）确定入围数量</w:t>
      </w:r>
    </w:p>
    <w:p w14:paraId="0E051354">
      <w:pPr>
        <w:spacing w:line="596" w:lineRule="exact"/>
        <w:ind w:firstLine="640" w:firstLineChars="200"/>
        <w:rPr>
          <w:rFonts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szCs w:val="32"/>
        </w:rPr>
        <w:t>入围数量（M）按照如下规则确定：</w:t>
      </w:r>
    </w:p>
    <w:p w14:paraId="6789700C">
      <w:pPr>
        <w:spacing w:line="596" w:lineRule="exact"/>
        <w:ind w:firstLine="640" w:firstLineChars="200"/>
        <w:rPr>
          <w:rFonts w:hint="default"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szCs w:val="32"/>
        </w:rPr>
        <w:t>1.当N≤K</w:t>
      </w:r>
      <w:r>
        <w:rPr>
          <w:rFonts w:hint="default" w:ascii="Times New Roman" w:hAnsi="Times New Roman" w:eastAsia="仿宋_GB2312" w:cs="Times New Roman"/>
          <w:szCs w:val="32"/>
          <w:vertAlign w:val="subscript"/>
        </w:rPr>
        <w:t>c</w:t>
      </w:r>
      <w:r>
        <w:rPr>
          <w:rFonts w:hint="default" w:ascii="Times New Roman" w:hAnsi="Times New Roman" w:eastAsia="仿宋_GB2312" w:cs="Times New Roman"/>
          <w:szCs w:val="32"/>
        </w:rPr>
        <w:t>时，M=N；</w:t>
      </w:r>
    </w:p>
    <w:p w14:paraId="274EBD2F">
      <w:pPr>
        <w:spacing w:line="596" w:lineRule="exact"/>
        <w:ind w:firstLine="640" w:firstLineChars="200"/>
        <w:rPr>
          <w:rFonts w:hint="default"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szCs w:val="32"/>
        </w:rPr>
        <w:t>2.当K</w:t>
      </w:r>
      <w:r>
        <w:rPr>
          <w:rFonts w:hint="default" w:ascii="Times New Roman" w:hAnsi="Times New Roman" w:eastAsia="仿宋_GB2312" w:cs="Times New Roman"/>
          <w:szCs w:val="32"/>
          <w:vertAlign w:val="subscript"/>
        </w:rPr>
        <w:t>c</w:t>
      </w:r>
      <w:r>
        <w:rPr>
          <w:rFonts w:hint="default" w:ascii="Times New Roman" w:hAnsi="Times New Roman" w:eastAsia="仿宋_GB2312" w:cs="Times New Roman"/>
          <w:szCs w:val="32"/>
        </w:rPr>
        <w:t>&lt;N≤K</w:t>
      </w:r>
      <w:r>
        <w:rPr>
          <w:rFonts w:hint="default" w:ascii="Times New Roman" w:hAnsi="Times New Roman" w:eastAsia="仿宋_GB2312" w:cs="Times New Roman"/>
          <w:szCs w:val="32"/>
          <w:vertAlign w:val="subscript"/>
        </w:rPr>
        <w:t>c</w:t>
      </w:r>
      <w:r>
        <w:rPr>
          <w:rFonts w:hint="default" w:ascii="Times New Roman" w:hAnsi="Times New Roman" w:eastAsia="仿宋_GB2312" w:cs="Times New Roman"/>
          <w:szCs w:val="32"/>
        </w:rPr>
        <w:t>+50时，M=K</w:t>
      </w:r>
      <w:r>
        <w:rPr>
          <w:rFonts w:hint="default" w:ascii="Times New Roman" w:hAnsi="Times New Roman" w:eastAsia="仿宋_GB2312" w:cs="Times New Roman"/>
          <w:szCs w:val="32"/>
          <w:vertAlign w:val="subscript"/>
        </w:rPr>
        <w:t>c</w:t>
      </w:r>
      <w:r>
        <w:rPr>
          <w:rFonts w:hint="default" w:ascii="Times New Roman" w:hAnsi="Times New Roman" w:eastAsia="仿宋_GB2312" w:cs="Times New Roman"/>
          <w:szCs w:val="32"/>
        </w:rPr>
        <w:t>+(N-K</w:t>
      </w:r>
      <w:r>
        <w:rPr>
          <w:rFonts w:hint="default" w:ascii="Times New Roman" w:hAnsi="Times New Roman" w:eastAsia="仿宋_GB2312" w:cs="Times New Roman"/>
          <w:szCs w:val="32"/>
          <w:vertAlign w:val="subscript"/>
        </w:rPr>
        <w:t>c</w:t>
      </w:r>
      <w:r>
        <w:rPr>
          <w:rFonts w:hint="default" w:ascii="Times New Roman" w:hAnsi="Times New Roman" w:eastAsia="仿宋_GB2312" w:cs="Times New Roman"/>
          <w:szCs w:val="32"/>
        </w:rPr>
        <w:t>)×K</w:t>
      </w:r>
      <w:r>
        <w:rPr>
          <w:rFonts w:hint="default" w:ascii="Times New Roman" w:hAnsi="Times New Roman" w:eastAsia="仿宋_GB2312" w:cs="Times New Roman"/>
          <w:szCs w:val="32"/>
          <w:vertAlign w:val="subscript"/>
        </w:rPr>
        <w:t>1</w:t>
      </w:r>
      <w:r>
        <w:rPr>
          <w:rFonts w:hint="default" w:ascii="Times New Roman" w:hAnsi="Times New Roman" w:eastAsia="仿宋_GB2312" w:cs="Times New Roman"/>
          <w:szCs w:val="32"/>
        </w:rPr>
        <w:t>；</w:t>
      </w:r>
    </w:p>
    <w:p w14:paraId="1058AB63">
      <w:pPr>
        <w:spacing w:line="596" w:lineRule="exact"/>
        <w:ind w:firstLine="640" w:firstLineChars="200"/>
        <w:rPr>
          <w:rFonts w:hint="default"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szCs w:val="32"/>
        </w:rPr>
        <w:t>3.当K</w:t>
      </w:r>
      <w:r>
        <w:rPr>
          <w:rFonts w:hint="default" w:ascii="Times New Roman" w:hAnsi="Times New Roman" w:eastAsia="仿宋_GB2312" w:cs="Times New Roman"/>
          <w:szCs w:val="32"/>
          <w:vertAlign w:val="subscript"/>
        </w:rPr>
        <w:t>c</w:t>
      </w:r>
      <w:r>
        <w:rPr>
          <w:rFonts w:hint="default" w:ascii="Times New Roman" w:hAnsi="Times New Roman" w:eastAsia="仿宋_GB2312" w:cs="Times New Roman"/>
          <w:szCs w:val="32"/>
        </w:rPr>
        <w:t>+50&lt;N≤K</w:t>
      </w:r>
      <w:r>
        <w:rPr>
          <w:rFonts w:hint="default" w:ascii="Times New Roman" w:hAnsi="Times New Roman" w:eastAsia="仿宋_GB2312" w:cs="Times New Roman"/>
          <w:szCs w:val="32"/>
          <w:vertAlign w:val="subscript"/>
        </w:rPr>
        <w:t>c</w:t>
      </w:r>
      <w:r>
        <w:rPr>
          <w:rFonts w:hint="default" w:ascii="Times New Roman" w:hAnsi="Times New Roman" w:eastAsia="仿宋_GB2312" w:cs="Times New Roman"/>
          <w:szCs w:val="32"/>
        </w:rPr>
        <w:t>+100时，M=K</w:t>
      </w:r>
      <w:r>
        <w:rPr>
          <w:rFonts w:hint="default" w:ascii="Times New Roman" w:hAnsi="Times New Roman" w:eastAsia="仿宋_GB2312" w:cs="Times New Roman"/>
          <w:szCs w:val="32"/>
          <w:vertAlign w:val="subscript"/>
        </w:rPr>
        <w:t>c</w:t>
      </w:r>
      <w:r>
        <w:rPr>
          <w:rFonts w:hint="default" w:ascii="Times New Roman" w:hAnsi="Times New Roman" w:eastAsia="仿宋_GB2312" w:cs="Times New Roman"/>
          <w:szCs w:val="32"/>
        </w:rPr>
        <w:t>+50×K</w:t>
      </w:r>
      <w:r>
        <w:rPr>
          <w:rFonts w:hint="default" w:ascii="Times New Roman" w:hAnsi="Times New Roman" w:eastAsia="仿宋_GB2312" w:cs="Times New Roman"/>
          <w:szCs w:val="32"/>
          <w:vertAlign w:val="subscript"/>
        </w:rPr>
        <w:t>1</w:t>
      </w:r>
      <w:r>
        <w:rPr>
          <w:rFonts w:hint="default" w:ascii="Times New Roman" w:hAnsi="Times New Roman" w:eastAsia="仿宋_GB2312" w:cs="Times New Roman"/>
          <w:szCs w:val="32"/>
        </w:rPr>
        <w:t>+(N-K</w:t>
      </w:r>
      <w:r>
        <w:rPr>
          <w:rFonts w:hint="default" w:ascii="Times New Roman" w:hAnsi="Times New Roman" w:eastAsia="仿宋_GB2312" w:cs="Times New Roman"/>
          <w:szCs w:val="32"/>
          <w:vertAlign w:val="subscript"/>
        </w:rPr>
        <w:t>c</w:t>
      </w:r>
      <w:r>
        <w:rPr>
          <w:rFonts w:hint="default" w:ascii="Times New Roman" w:hAnsi="Times New Roman" w:eastAsia="仿宋_GB2312" w:cs="Times New Roman"/>
          <w:szCs w:val="32"/>
        </w:rPr>
        <w:t>-50)×K</w:t>
      </w:r>
      <w:r>
        <w:rPr>
          <w:rFonts w:hint="default" w:ascii="Times New Roman" w:hAnsi="Times New Roman" w:eastAsia="仿宋_GB2312" w:cs="Times New Roman"/>
          <w:szCs w:val="32"/>
          <w:vertAlign w:val="subscript"/>
        </w:rPr>
        <w:t>2</w:t>
      </w:r>
      <w:r>
        <w:rPr>
          <w:rFonts w:hint="default" w:ascii="Times New Roman" w:hAnsi="Times New Roman" w:eastAsia="仿宋_GB2312" w:cs="Times New Roman"/>
          <w:szCs w:val="32"/>
        </w:rPr>
        <w:t>；</w:t>
      </w:r>
    </w:p>
    <w:p w14:paraId="6858CA10">
      <w:pPr>
        <w:spacing w:line="596" w:lineRule="exact"/>
        <w:ind w:firstLine="620" w:firstLineChars="0"/>
        <w:rPr>
          <w:rFonts w:hint="default" w:ascii="Times New Roman" w:hAnsi="Times New Roman" w:eastAsia="仿宋_GB2312" w:cs="Times New Roman"/>
          <w:spacing w:val="-17"/>
          <w:szCs w:val="32"/>
        </w:rPr>
      </w:pPr>
      <w:r>
        <w:rPr>
          <w:rFonts w:hint="default" w:ascii="Times New Roman" w:hAnsi="Times New Roman" w:eastAsia="仿宋_GB2312" w:cs="Times New Roman"/>
          <w:spacing w:val="-17"/>
          <w:szCs w:val="32"/>
        </w:rPr>
        <w:t>4.当K</w:t>
      </w:r>
      <w:r>
        <w:rPr>
          <w:rFonts w:hint="default" w:ascii="Times New Roman" w:hAnsi="Times New Roman" w:eastAsia="仿宋_GB2312" w:cs="Times New Roman"/>
          <w:spacing w:val="-17"/>
          <w:szCs w:val="32"/>
          <w:vertAlign w:val="subscript"/>
        </w:rPr>
        <w:t>c</w:t>
      </w:r>
      <w:r>
        <w:rPr>
          <w:rFonts w:hint="default" w:ascii="Times New Roman" w:hAnsi="Times New Roman" w:eastAsia="仿宋_GB2312" w:cs="Times New Roman"/>
          <w:spacing w:val="-17"/>
          <w:szCs w:val="32"/>
        </w:rPr>
        <w:t>+100&lt;N≤K</w:t>
      </w:r>
      <w:r>
        <w:rPr>
          <w:rFonts w:hint="default" w:ascii="Times New Roman" w:hAnsi="Times New Roman" w:eastAsia="仿宋_GB2312" w:cs="Times New Roman"/>
          <w:spacing w:val="-17"/>
          <w:szCs w:val="32"/>
          <w:vertAlign w:val="subscript"/>
        </w:rPr>
        <w:t>c</w:t>
      </w:r>
      <w:r>
        <w:rPr>
          <w:rFonts w:hint="default" w:ascii="Times New Roman" w:hAnsi="Times New Roman" w:eastAsia="仿宋_GB2312" w:cs="Times New Roman"/>
          <w:spacing w:val="-17"/>
          <w:szCs w:val="32"/>
        </w:rPr>
        <w:t>+150时，M=K</w:t>
      </w:r>
      <w:r>
        <w:rPr>
          <w:rFonts w:hint="default" w:ascii="Times New Roman" w:hAnsi="Times New Roman" w:eastAsia="仿宋_GB2312" w:cs="Times New Roman"/>
          <w:spacing w:val="-17"/>
          <w:szCs w:val="32"/>
          <w:vertAlign w:val="subscript"/>
        </w:rPr>
        <w:t>c</w:t>
      </w:r>
      <w:r>
        <w:rPr>
          <w:rFonts w:hint="default" w:ascii="Times New Roman" w:hAnsi="Times New Roman" w:eastAsia="仿宋_GB2312" w:cs="Times New Roman"/>
          <w:spacing w:val="-17"/>
          <w:szCs w:val="32"/>
        </w:rPr>
        <w:t>+50×K</w:t>
      </w:r>
      <w:r>
        <w:rPr>
          <w:rFonts w:hint="default" w:ascii="Times New Roman" w:hAnsi="Times New Roman" w:eastAsia="仿宋_GB2312" w:cs="Times New Roman"/>
          <w:spacing w:val="-17"/>
          <w:szCs w:val="32"/>
          <w:vertAlign w:val="subscript"/>
        </w:rPr>
        <w:t>1</w:t>
      </w:r>
      <w:r>
        <w:rPr>
          <w:rFonts w:hint="default" w:ascii="Times New Roman" w:hAnsi="Times New Roman" w:eastAsia="仿宋_GB2312" w:cs="Times New Roman"/>
          <w:spacing w:val="-17"/>
          <w:szCs w:val="32"/>
        </w:rPr>
        <w:t>+50×K</w:t>
      </w:r>
      <w:r>
        <w:rPr>
          <w:rFonts w:hint="default" w:ascii="Times New Roman" w:hAnsi="Times New Roman" w:eastAsia="仿宋_GB2312" w:cs="Times New Roman"/>
          <w:spacing w:val="-17"/>
          <w:szCs w:val="32"/>
          <w:vertAlign w:val="subscript"/>
        </w:rPr>
        <w:t>2</w:t>
      </w:r>
      <w:r>
        <w:rPr>
          <w:rFonts w:hint="default" w:ascii="Times New Roman" w:hAnsi="Times New Roman" w:eastAsia="仿宋_GB2312" w:cs="Times New Roman"/>
          <w:spacing w:val="-17"/>
          <w:szCs w:val="32"/>
        </w:rPr>
        <w:t>+(N-K</w:t>
      </w:r>
      <w:r>
        <w:rPr>
          <w:rFonts w:hint="default" w:ascii="Times New Roman" w:hAnsi="Times New Roman" w:eastAsia="仿宋_GB2312" w:cs="Times New Roman"/>
          <w:spacing w:val="-17"/>
          <w:szCs w:val="32"/>
          <w:vertAlign w:val="subscript"/>
        </w:rPr>
        <w:t>c</w:t>
      </w:r>
      <w:r>
        <w:rPr>
          <w:rFonts w:hint="default" w:ascii="Times New Roman" w:hAnsi="Times New Roman" w:eastAsia="仿宋_GB2312" w:cs="Times New Roman"/>
          <w:spacing w:val="-17"/>
          <w:szCs w:val="32"/>
        </w:rPr>
        <w:t>-100)×K</w:t>
      </w:r>
      <w:r>
        <w:rPr>
          <w:rFonts w:hint="default" w:ascii="Times New Roman" w:hAnsi="Times New Roman" w:eastAsia="仿宋_GB2312" w:cs="Times New Roman"/>
          <w:spacing w:val="-17"/>
          <w:szCs w:val="32"/>
          <w:vertAlign w:val="subscript"/>
        </w:rPr>
        <w:t>3</w:t>
      </w:r>
      <w:r>
        <w:rPr>
          <w:rFonts w:hint="default" w:ascii="Times New Roman" w:hAnsi="Times New Roman" w:eastAsia="仿宋_GB2312" w:cs="Times New Roman"/>
          <w:spacing w:val="-17"/>
          <w:szCs w:val="32"/>
        </w:rPr>
        <w:t>；</w:t>
      </w:r>
    </w:p>
    <w:p w14:paraId="0690F434">
      <w:pPr>
        <w:spacing w:line="596" w:lineRule="exact"/>
        <w:ind w:firstLine="620" w:firstLineChars="0"/>
        <w:rPr>
          <w:rFonts w:hint="default" w:ascii="Times New Roman" w:hAnsi="Times New Roman" w:eastAsia="仿宋_GB2312" w:cs="Times New Roman"/>
          <w:spacing w:val="-28"/>
          <w:szCs w:val="32"/>
        </w:rPr>
      </w:pPr>
      <w:r>
        <w:rPr>
          <w:rFonts w:hint="default" w:ascii="Times New Roman" w:hAnsi="Times New Roman" w:eastAsia="仿宋_GB2312" w:cs="Times New Roman"/>
          <w:spacing w:val="-28"/>
          <w:szCs w:val="32"/>
        </w:rPr>
        <w:t>5.当K</w:t>
      </w:r>
      <w:r>
        <w:rPr>
          <w:rFonts w:hint="default" w:ascii="Times New Roman" w:hAnsi="Times New Roman" w:eastAsia="仿宋_GB2312" w:cs="Times New Roman"/>
          <w:spacing w:val="-28"/>
          <w:szCs w:val="32"/>
          <w:vertAlign w:val="subscript"/>
        </w:rPr>
        <w:t>c</w:t>
      </w:r>
      <w:r>
        <w:rPr>
          <w:rFonts w:hint="default" w:ascii="Times New Roman" w:hAnsi="Times New Roman" w:eastAsia="仿宋_GB2312" w:cs="Times New Roman"/>
          <w:spacing w:val="-28"/>
          <w:szCs w:val="32"/>
        </w:rPr>
        <w:t>+150&lt;N≤K</w:t>
      </w:r>
      <w:r>
        <w:rPr>
          <w:rFonts w:hint="default" w:ascii="Times New Roman" w:hAnsi="Times New Roman" w:eastAsia="仿宋_GB2312" w:cs="Times New Roman"/>
          <w:spacing w:val="-28"/>
          <w:szCs w:val="32"/>
          <w:vertAlign w:val="subscript"/>
        </w:rPr>
        <w:t>c</w:t>
      </w:r>
      <w:r>
        <w:rPr>
          <w:rFonts w:hint="default" w:ascii="Times New Roman" w:hAnsi="Times New Roman" w:eastAsia="仿宋_GB2312" w:cs="Times New Roman"/>
          <w:spacing w:val="-28"/>
          <w:szCs w:val="32"/>
        </w:rPr>
        <w:t>+200时，M=K</w:t>
      </w:r>
      <w:r>
        <w:rPr>
          <w:rFonts w:hint="default" w:ascii="Times New Roman" w:hAnsi="Times New Roman" w:eastAsia="仿宋_GB2312" w:cs="Times New Roman"/>
          <w:spacing w:val="-28"/>
          <w:szCs w:val="32"/>
          <w:vertAlign w:val="subscript"/>
        </w:rPr>
        <w:t>c</w:t>
      </w:r>
      <w:r>
        <w:rPr>
          <w:rFonts w:hint="default" w:ascii="Times New Roman" w:hAnsi="Times New Roman" w:eastAsia="仿宋_GB2312" w:cs="Times New Roman"/>
          <w:spacing w:val="-28"/>
          <w:szCs w:val="32"/>
        </w:rPr>
        <w:t>+50×K</w:t>
      </w:r>
      <w:r>
        <w:rPr>
          <w:rFonts w:hint="default" w:ascii="Times New Roman" w:hAnsi="Times New Roman" w:eastAsia="仿宋_GB2312" w:cs="Times New Roman"/>
          <w:spacing w:val="-28"/>
          <w:szCs w:val="32"/>
          <w:vertAlign w:val="subscript"/>
        </w:rPr>
        <w:t>1</w:t>
      </w:r>
      <w:r>
        <w:rPr>
          <w:rFonts w:hint="default" w:ascii="Times New Roman" w:hAnsi="Times New Roman" w:eastAsia="仿宋_GB2312" w:cs="Times New Roman"/>
          <w:spacing w:val="-28"/>
          <w:szCs w:val="32"/>
        </w:rPr>
        <w:t>+50×K</w:t>
      </w:r>
      <w:r>
        <w:rPr>
          <w:rFonts w:hint="default" w:ascii="Times New Roman" w:hAnsi="Times New Roman" w:eastAsia="仿宋_GB2312" w:cs="Times New Roman"/>
          <w:spacing w:val="-28"/>
          <w:szCs w:val="32"/>
          <w:vertAlign w:val="subscript"/>
        </w:rPr>
        <w:t>2</w:t>
      </w:r>
      <w:r>
        <w:rPr>
          <w:rFonts w:hint="default" w:ascii="Times New Roman" w:hAnsi="Times New Roman" w:eastAsia="仿宋_GB2312" w:cs="Times New Roman"/>
          <w:spacing w:val="-28"/>
          <w:szCs w:val="32"/>
        </w:rPr>
        <w:t>+50×K</w:t>
      </w:r>
      <w:r>
        <w:rPr>
          <w:rFonts w:hint="default" w:ascii="Times New Roman" w:hAnsi="Times New Roman" w:eastAsia="仿宋_GB2312" w:cs="Times New Roman"/>
          <w:spacing w:val="-28"/>
          <w:szCs w:val="32"/>
          <w:vertAlign w:val="subscript"/>
        </w:rPr>
        <w:t>3</w:t>
      </w:r>
      <w:r>
        <w:rPr>
          <w:rFonts w:hint="default" w:ascii="Times New Roman" w:hAnsi="Times New Roman" w:eastAsia="仿宋_GB2312" w:cs="Times New Roman"/>
          <w:spacing w:val="-28"/>
          <w:szCs w:val="32"/>
        </w:rPr>
        <w:t>+(N-K</w:t>
      </w:r>
      <w:r>
        <w:rPr>
          <w:rFonts w:hint="default" w:ascii="Times New Roman" w:hAnsi="Times New Roman" w:eastAsia="仿宋_GB2312" w:cs="Times New Roman"/>
          <w:spacing w:val="-28"/>
          <w:szCs w:val="32"/>
          <w:vertAlign w:val="subscript"/>
        </w:rPr>
        <w:t>c</w:t>
      </w:r>
      <w:r>
        <w:rPr>
          <w:rFonts w:hint="default" w:ascii="Times New Roman" w:hAnsi="Times New Roman" w:eastAsia="仿宋_GB2312" w:cs="Times New Roman"/>
          <w:spacing w:val="-28"/>
          <w:szCs w:val="32"/>
        </w:rPr>
        <w:t>-150)×K</w:t>
      </w:r>
      <w:r>
        <w:rPr>
          <w:rFonts w:hint="default" w:ascii="Times New Roman" w:hAnsi="Times New Roman" w:eastAsia="仿宋_GB2312" w:cs="Times New Roman"/>
          <w:spacing w:val="-28"/>
          <w:szCs w:val="32"/>
          <w:vertAlign w:val="subscript"/>
        </w:rPr>
        <w:t>4</w:t>
      </w:r>
      <w:r>
        <w:rPr>
          <w:rFonts w:hint="default" w:ascii="Times New Roman" w:hAnsi="Times New Roman" w:eastAsia="仿宋_GB2312" w:cs="Times New Roman"/>
          <w:spacing w:val="-28"/>
          <w:szCs w:val="32"/>
        </w:rPr>
        <w:t>；</w:t>
      </w:r>
    </w:p>
    <w:p w14:paraId="7CE6AEB9">
      <w:pPr>
        <w:spacing w:line="596" w:lineRule="exact"/>
        <w:ind w:firstLine="640" w:firstLineChars="200"/>
        <w:rPr>
          <w:rFonts w:hint="default"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szCs w:val="32"/>
        </w:rPr>
        <w:t>6.当N&gt;K</w:t>
      </w:r>
      <w:r>
        <w:rPr>
          <w:rFonts w:hint="default" w:ascii="Times New Roman" w:hAnsi="Times New Roman" w:eastAsia="仿宋_GB2312" w:cs="Times New Roman"/>
          <w:szCs w:val="32"/>
          <w:vertAlign w:val="subscript"/>
        </w:rPr>
        <w:t>c</w:t>
      </w:r>
      <w:r>
        <w:rPr>
          <w:rFonts w:hint="default" w:ascii="Times New Roman" w:hAnsi="Times New Roman" w:eastAsia="仿宋_GB2312" w:cs="Times New Roman"/>
          <w:szCs w:val="32"/>
        </w:rPr>
        <w:t>+200时，M=70；M为非整数时，按四舍五入原则取整；</w:t>
      </w:r>
    </w:p>
    <w:p w14:paraId="0560B91E">
      <w:pPr>
        <w:spacing w:line="596" w:lineRule="exact"/>
        <w:ind w:firstLine="640" w:firstLineChars="200"/>
        <w:rPr>
          <w:rFonts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szCs w:val="32"/>
        </w:rPr>
        <w:t>7.初始入围数量K</w:t>
      </w:r>
      <w:r>
        <w:rPr>
          <w:rFonts w:hint="default" w:ascii="Times New Roman" w:hAnsi="Times New Roman" w:eastAsia="仿宋_GB2312" w:cs="Times New Roman"/>
          <w:szCs w:val="32"/>
          <w:vertAlign w:val="subscript"/>
        </w:rPr>
        <w:t>c</w:t>
      </w:r>
      <w:r>
        <w:rPr>
          <w:rFonts w:hint="default" w:ascii="Times New Roman" w:hAnsi="Times New Roman" w:eastAsia="仿宋_GB2312" w:cs="Times New Roman"/>
          <w:szCs w:val="32"/>
        </w:rPr>
        <w:t>=35；</w:t>
      </w:r>
      <w:bookmarkStart w:id="0" w:name="OLE_LINK1"/>
      <w:r>
        <w:rPr>
          <w:rFonts w:hint="default" w:ascii="Times New Roman" w:hAnsi="Times New Roman" w:eastAsia="仿宋_GB2312" w:cs="Times New Roman"/>
          <w:szCs w:val="32"/>
        </w:rPr>
        <w:t>入围比例系数</w:t>
      </w:r>
      <w:bookmarkEnd w:id="0"/>
      <w:r>
        <w:rPr>
          <w:rFonts w:hint="default" w:ascii="Times New Roman" w:hAnsi="Times New Roman" w:eastAsia="仿宋_GB2312" w:cs="Times New Roman"/>
          <w:szCs w:val="32"/>
        </w:rPr>
        <w:t>K</w:t>
      </w:r>
      <w:r>
        <w:rPr>
          <w:rFonts w:hint="default" w:ascii="Times New Roman" w:hAnsi="Times New Roman" w:eastAsia="仿宋_GB2312" w:cs="Times New Roman"/>
          <w:szCs w:val="32"/>
          <w:vertAlign w:val="subscript"/>
        </w:rPr>
        <w:t>1</w:t>
      </w:r>
      <w:r>
        <w:rPr>
          <w:rFonts w:hint="default" w:ascii="Times New Roman" w:hAnsi="Times New Roman" w:eastAsia="仿宋_GB2312" w:cs="Times New Roman"/>
          <w:szCs w:val="32"/>
        </w:rPr>
        <w:t>=30%，K</w:t>
      </w:r>
      <w:r>
        <w:rPr>
          <w:rFonts w:hint="default" w:ascii="Times New Roman" w:hAnsi="Times New Roman" w:eastAsia="仿宋_GB2312" w:cs="Times New Roman"/>
          <w:szCs w:val="32"/>
          <w:vertAlign w:val="subscript"/>
        </w:rPr>
        <w:t>2</w:t>
      </w:r>
      <w:r>
        <w:rPr>
          <w:rFonts w:hint="default" w:ascii="Times New Roman" w:hAnsi="Times New Roman" w:eastAsia="仿宋_GB2312" w:cs="Times New Roman"/>
          <w:szCs w:val="32"/>
        </w:rPr>
        <w:t>=20%，K</w:t>
      </w:r>
      <w:r>
        <w:rPr>
          <w:rFonts w:hint="default" w:ascii="Times New Roman" w:hAnsi="Times New Roman" w:eastAsia="仿宋_GB2312" w:cs="Times New Roman"/>
          <w:szCs w:val="32"/>
          <w:vertAlign w:val="subscript"/>
        </w:rPr>
        <w:t>3</w:t>
      </w:r>
      <w:r>
        <w:rPr>
          <w:rFonts w:hint="default" w:ascii="Times New Roman" w:hAnsi="Times New Roman" w:eastAsia="仿宋_GB2312" w:cs="Times New Roman"/>
          <w:szCs w:val="32"/>
        </w:rPr>
        <w:t>=10%，K</w:t>
      </w:r>
      <w:r>
        <w:rPr>
          <w:rFonts w:hint="default" w:ascii="Times New Roman" w:hAnsi="Times New Roman" w:eastAsia="仿宋_GB2312" w:cs="Times New Roman"/>
          <w:szCs w:val="32"/>
          <w:vertAlign w:val="subscript"/>
        </w:rPr>
        <w:t>4</w:t>
      </w:r>
      <w:r>
        <w:rPr>
          <w:rFonts w:hint="default" w:ascii="Times New Roman" w:hAnsi="Times New Roman" w:eastAsia="仿宋_GB2312" w:cs="Times New Roman"/>
          <w:szCs w:val="32"/>
        </w:rPr>
        <w:t>=10%。</w:t>
      </w:r>
    </w:p>
    <w:p w14:paraId="4E609ED5">
      <w:pPr>
        <w:spacing w:line="596" w:lineRule="exact"/>
        <w:ind w:firstLine="640" w:firstLineChars="200"/>
        <w:rPr>
          <w:rFonts w:hint="default" w:ascii="Times New Roman" w:hAnsi="Times New Roman" w:eastAsia="黑体" w:cs="Times New Roman"/>
          <w:szCs w:val="32"/>
        </w:rPr>
      </w:pPr>
      <w:r>
        <w:rPr>
          <w:rFonts w:hint="default" w:ascii="Times New Roman" w:hAnsi="Times New Roman" w:eastAsia="黑体" w:cs="Times New Roman"/>
          <w:szCs w:val="32"/>
        </w:rPr>
        <w:t>二、入围流程及规则</w:t>
      </w:r>
    </w:p>
    <w:p w14:paraId="7E79B80D">
      <w:pPr>
        <w:spacing w:line="596" w:lineRule="exact"/>
        <w:ind w:firstLine="643" w:firstLineChars="200"/>
        <w:rPr>
          <w:rFonts w:ascii="Times New Roman" w:hAnsi="Times New Roman" w:eastAsia="仿宋_GB2312" w:cs="Times New Roman"/>
          <w:b/>
          <w:bCs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Cs w:val="32"/>
        </w:rPr>
        <w:t>（一）第一轮筛选（确定入围数量M×P</w:t>
      </w:r>
      <w:r>
        <w:rPr>
          <w:rFonts w:hint="default" w:ascii="Times New Roman" w:hAnsi="Times New Roman" w:eastAsia="仿宋_GB2312" w:cs="Times New Roman"/>
          <w:b/>
          <w:bCs/>
          <w:szCs w:val="32"/>
          <w:vertAlign w:val="subscript"/>
        </w:rPr>
        <w:t>1</w:t>
      </w:r>
      <w:r>
        <w:rPr>
          <w:rFonts w:hint="default" w:ascii="Times New Roman" w:hAnsi="Times New Roman" w:eastAsia="仿宋_GB2312" w:cs="Times New Roman"/>
          <w:b/>
          <w:bCs/>
          <w:szCs w:val="32"/>
        </w:rPr>
        <w:t>的名单，四舍五入）</w:t>
      </w:r>
    </w:p>
    <w:p w14:paraId="7BF7CEE6">
      <w:pPr>
        <w:spacing w:line="596" w:lineRule="exact"/>
        <w:ind w:firstLine="640" w:firstLineChars="200"/>
        <w:rPr>
          <w:rFonts w:hint="default"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szCs w:val="32"/>
        </w:rPr>
        <w:t>1.将入围名单中的投标人按投标价格从低到高排序，确定四分位点和中位点为基点并分别选取附近投标人，具体规则如下：</w:t>
      </w:r>
    </w:p>
    <w:p w14:paraId="68D96227">
      <w:pPr>
        <w:spacing w:line="596" w:lineRule="exact"/>
        <w:ind w:firstLine="640" w:firstLineChars="200"/>
        <w:rPr>
          <w:rFonts w:hint="default"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szCs w:val="32"/>
        </w:rPr>
        <w:t>（1）以中位点（位置为1/2×(N+1)，向下取整）为基点，选取该位置附近</w:t>
      </w:r>
      <w:r>
        <w:rPr>
          <w:rFonts w:hint="default" w:ascii="Times New Roman" w:hAnsi="Times New Roman" w:eastAsia="仿宋_GB2312" w:cs="Times New Roman"/>
          <w:b/>
          <w:bCs/>
          <w:szCs w:val="32"/>
        </w:rPr>
        <w:t>P</w:t>
      </w:r>
      <w:r>
        <w:rPr>
          <w:rFonts w:hint="default" w:ascii="Times New Roman" w:hAnsi="Times New Roman" w:eastAsia="仿宋_GB2312" w:cs="Times New Roman"/>
          <w:b/>
          <w:bCs/>
          <w:szCs w:val="32"/>
          <w:vertAlign w:val="subscript"/>
        </w:rPr>
        <w:t>1</w:t>
      </w:r>
      <w:r>
        <w:rPr>
          <w:rFonts w:hint="default" w:ascii="Times New Roman" w:hAnsi="Times New Roman" w:eastAsia="仿宋_GB2312" w:cs="Times New Roman"/>
          <w:szCs w:val="32"/>
        </w:rPr>
        <w:t>/2×M的投标人（向上取整）；</w:t>
      </w:r>
    </w:p>
    <w:p w14:paraId="7D287765">
      <w:pPr>
        <w:spacing w:line="596" w:lineRule="exact"/>
        <w:ind w:firstLine="640" w:firstLineChars="200"/>
        <w:rPr>
          <w:rFonts w:hint="default"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szCs w:val="32"/>
        </w:rPr>
        <w:t>（1）以下四分位点（即25%分位值，位置为1/4×(N+1)，向下取整）为基点，选取该位置附近剩余的投标人。</w:t>
      </w:r>
    </w:p>
    <w:p w14:paraId="60F1BFA5">
      <w:pPr>
        <w:spacing w:line="596" w:lineRule="exact"/>
        <w:ind w:firstLine="640" w:firstLineChars="200"/>
        <w:rPr>
          <w:rFonts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szCs w:val="32"/>
        </w:rPr>
        <w:t>2.筛选规则说明：若中位点或下四分位点处投标人数量为奇数，则在该基点两侧均匀选取相同数量的投标人；若为偶数，则价格较低一侧较价格较高一侧多选取一名投标人。</w:t>
      </w:r>
    </w:p>
    <w:p w14:paraId="3484B26D">
      <w:pPr>
        <w:spacing w:line="596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Cs w:val="32"/>
        </w:rPr>
        <w:t>（二）第二轮筛选（确定入围数量M×P</w:t>
      </w:r>
      <w:r>
        <w:rPr>
          <w:rFonts w:hint="default" w:ascii="Times New Roman" w:hAnsi="Times New Roman" w:eastAsia="仿宋_GB2312" w:cs="Times New Roman"/>
          <w:b/>
          <w:bCs/>
          <w:szCs w:val="32"/>
          <w:vertAlign w:val="subscript"/>
        </w:rPr>
        <w:t>2</w:t>
      </w:r>
      <w:r>
        <w:rPr>
          <w:rFonts w:hint="default" w:ascii="Times New Roman" w:hAnsi="Times New Roman" w:eastAsia="仿宋_GB2312" w:cs="Times New Roman"/>
          <w:b/>
          <w:bCs/>
          <w:szCs w:val="32"/>
        </w:rPr>
        <w:t>的投标人名单，四舍五入）</w:t>
      </w:r>
    </w:p>
    <w:p w14:paraId="1043629F">
      <w:pPr>
        <w:spacing w:line="596" w:lineRule="exact"/>
        <w:ind w:firstLine="640" w:firstLineChars="200"/>
        <w:rPr>
          <w:rFonts w:hint="default"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szCs w:val="32"/>
        </w:rPr>
        <w:t>1.按第一轮筛选后剩余企业信用得分从高到低排序，取前</w:t>
      </w:r>
      <w:r>
        <w:rPr>
          <w:rFonts w:hint="default" w:ascii="Times New Roman" w:hAnsi="Times New Roman" w:eastAsia="仿宋_GB2312" w:cs="Times New Roman"/>
          <w:b/>
          <w:bCs/>
          <w:szCs w:val="32"/>
        </w:rPr>
        <w:t>P</w:t>
      </w:r>
      <w:r>
        <w:rPr>
          <w:rFonts w:hint="default" w:ascii="Times New Roman" w:hAnsi="Times New Roman" w:eastAsia="仿宋_GB2312" w:cs="Times New Roman"/>
          <w:b/>
          <w:bCs/>
          <w:szCs w:val="32"/>
          <w:vertAlign w:val="subscript"/>
        </w:rPr>
        <w:t>2</w:t>
      </w:r>
      <w:r>
        <w:rPr>
          <w:rFonts w:hint="default" w:ascii="Times New Roman" w:hAnsi="Times New Roman" w:eastAsia="仿宋_GB2312" w:cs="Times New Roman"/>
          <w:szCs w:val="32"/>
        </w:rPr>
        <w:t>×M的投标人；</w:t>
      </w:r>
    </w:p>
    <w:p w14:paraId="56104A3F">
      <w:pPr>
        <w:spacing w:line="596" w:lineRule="exact"/>
        <w:ind w:firstLine="640" w:firstLineChars="200"/>
        <w:rPr>
          <w:rFonts w:hint="default"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szCs w:val="32"/>
        </w:rPr>
        <w:t>2.若信用得分末位相同，则按“人员、设备、资源调度效能及经验”得分（业绩匹配度不计入评审，下同）从高到低排序确定；</w:t>
      </w:r>
    </w:p>
    <w:p w14:paraId="3BA413B0">
      <w:pPr>
        <w:spacing w:line="596" w:lineRule="exact"/>
        <w:ind w:firstLine="640" w:firstLineChars="200"/>
        <w:rPr>
          <w:rFonts w:hint="default"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szCs w:val="32"/>
        </w:rPr>
        <w:t>3.若上述得分仍相同，按投标人报价由低到高排序确定；</w:t>
      </w:r>
    </w:p>
    <w:p w14:paraId="4EECAACB">
      <w:pPr>
        <w:spacing w:line="596" w:lineRule="exact"/>
        <w:ind w:firstLine="640" w:firstLineChars="200"/>
        <w:rPr>
          <w:rFonts w:hint="default"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szCs w:val="32"/>
        </w:rPr>
        <w:t>4.若报价仍相同，由系统随机确定入围名单。</w:t>
      </w:r>
    </w:p>
    <w:p w14:paraId="457158EA">
      <w:pPr>
        <w:spacing w:line="596" w:lineRule="exact"/>
        <w:ind w:firstLine="643" w:firstLineChars="200"/>
        <w:rPr>
          <w:rFonts w:ascii="Times New Roman" w:hAnsi="Times New Roman" w:eastAsia="仿宋_GB2312" w:cs="Times New Roman"/>
          <w:b/>
          <w:bCs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Cs w:val="32"/>
        </w:rPr>
        <w:t>（三）第三轮筛选（确定剩余入围名单）</w:t>
      </w:r>
    </w:p>
    <w:p w14:paraId="00D2A3D8">
      <w:pPr>
        <w:spacing w:line="596" w:lineRule="exact"/>
        <w:ind w:firstLine="640" w:firstLineChars="200"/>
        <w:rPr>
          <w:rFonts w:hint="default"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szCs w:val="32"/>
        </w:rPr>
        <w:t>1.</w:t>
      </w:r>
      <w:bookmarkStart w:id="1" w:name="OLE_LINK4"/>
      <w:r>
        <w:rPr>
          <w:rFonts w:hint="default" w:ascii="Times New Roman" w:hAnsi="Times New Roman" w:eastAsia="仿宋_GB2312" w:cs="Times New Roman"/>
          <w:szCs w:val="32"/>
        </w:rPr>
        <w:t>剩余入围数量基数为：（1）计算经过前两轮筛选后剩余的投标人总数（N-M×(P</w:t>
      </w:r>
      <w:r>
        <w:rPr>
          <w:rFonts w:hint="default" w:ascii="Times New Roman" w:hAnsi="Times New Roman" w:eastAsia="仿宋_GB2312" w:cs="Times New Roman"/>
          <w:szCs w:val="32"/>
          <w:vertAlign w:val="subscript"/>
        </w:rPr>
        <w:t>1</w:t>
      </w:r>
      <w:r>
        <w:rPr>
          <w:rFonts w:hint="default" w:ascii="Times New Roman" w:hAnsi="Times New Roman" w:eastAsia="仿宋_GB2312" w:cs="Times New Roman"/>
          <w:szCs w:val="32"/>
        </w:rPr>
        <w:t>+P</w:t>
      </w:r>
      <w:r>
        <w:rPr>
          <w:rFonts w:hint="default" w:ascii="Times New Roman" w:hAnsi="Times New Roman" w:eastAsia="仿宋_GB2312" w:cs="Times New Roman"/>
          <w:szCs w:val="32"/>
          <w:vertAlign w:val="subscript"/>
        </w:rPr>
        <w:t>2</w:t>
      </w:r>
      <w:r>
        <w:rPr>
          <w:rFonts w:hint="default" w:ascii="Times New Roman" w:hAnsi="Times New Roman" w:eastAsia="仿宋_GB2312" w:cs="Times New Roman"/>
          <w:szCs w:val="32"/>
        </w:rPr>
        <w:t>)）；（2）将上述剩余投标人按企业信用得分从高到低排序，取前六倍剩余入围数量（6×M×(1-P</w:t>
      </w:r>
      <w:r>
        <w:rPr>
          <w:rFonts w:hint="default" w:ascii="Times New Roman" w:hAnsi="Times New Roman" w:eastAsia="仿宋_GB2312" w:cs="Times New Roman"/>
          <w:szCs w:val="32"/>
          <w:vertAlign w:val="subscript"/>
        </w:rPr>
        <w:t>1</w:t>
      </w:r>
      <w:r>
        <w:rPr>
          <w:rFonts w:hint="default" w:ascii="Times New Roman" w:hAnsi="Times New Roman" w:eastAsia="仿宋_GB2312" w:cs="Times New Roman"/>
          <w:szCs w:val="32"/>
        </w:rPr>
        <w:t>-P</w:t>
      </w:r>
      <w:r>
        <w:rPr>
          <w:rFonts w:hint="default" w:ascii="Times New Roman" w:hAnsi="Times New Roman" w:eastAsia="仿宋_GB2312" w:cs="Times New Roman"/>
          <w:szCs w:val="32"/>
          <w:vertAlign w:val="subscript"/>
        </w:rPr>
        <w:t>2</w:t>
      </w:r>
      <w:r>
        <w:rPr>
          <w:rFonts w:hint="default" w:ascii="Times New Roman" w:hAnsi="Times New Roman" w:eastAsia="仿宋_GB2312" w:cs="Times New Roman"/>
          <w:szCs w:val="32"/>
        </w:rPr>
        <w:t>)）；（3）取前两者中的较小值。</w:t>
      </w:r>
    </w:p>
    <w:bookmarkEnd w:id="1"/>
    <w:p w14:paraId="67A28680">
      <w:pPr>
        <w:spacing w:line="596" w:lineRule="exact"/>
        <w:ind w:firstLine="640" w:firstLineChars="200"/>
        <w:rPr>
          <w:rFonts w:hint="default"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szCs w:val="32"/>
        </w:rPr>
        <w:t>2.按“人员、设备、资源调度效能及经验”得分从高到低排序，确定剩余入围名单；</w:t>
      </w:r>
    </w:p>
    <w:p w14:paraId="7C1C0907">
      <w:pPr>
        <w:spacing w:line="596" w:lineRule="exact"/>
        <w:ind w:firstLine="640" w:firstLineChars="200"/>
        <w:rPr>
          <w:rFonts w:hint="default"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szCs w:val="32"/>
        </w:rPr>
        <w:t>3.若上述得分末位相同，按投标人报价由低到高排序确定；</w:t>
      </w:r>
    </w:p>
    <w:p w14:paraId="56B200AA">
      <w:pPr>
        <w:spacing w:line="596" w:lineRule="exact"/>
        <w:ind w:firstLine="640" w:firstLineChars="200"/>
        <w:rPr>
          <w:rFonts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szCs w:val="32"/>
        </w:rPr>
        <w:t>4.若报价仍相同，由系统随机确定入围名单。</w:t>
      </w:r>
    </w:p>
    <w:p w14:paraId="736E3319">
      <w:pPr>
        <w:spacing w:line="596" w:lineRule="exact"/>
        <w:ind w:firstLine="640" w:firstLineChars="200"/>
        <w:rPr>
          <w:rFonts w:hint="default" w:ascii="Times New Roman" w:hAnsi="Times New Roman" w:eastAsia="黑体" w:cs="Times New Roman"/>
          <w:szCs w:val="32"/>
        </w:rPr>
      </w:pPr>
      <w:r>
        <w:rPr>
          <w:rFonts w:hint="default" w:ascii="Times New Roman" w:hAnsi="Times New Roman" w:eastAsia="黑体" w:cs="Times New Roman"/>
          <w:szCs w:val="32"/>
        </w:rPr>
        <w:t>三、相关参数说明</w:t>
      </w:r>
    </w:p>
    <w:p w14:paraId="56639ED1">
      <w:pPr>
        <w:spacing w:line="596" w:lineRule="exact"/>
        <w:ind w:firstLine="640" w:firstLineChars="200"/>
        <w:rPr>
          <w:rFonts w:hint="default" w:ascii="Times New Roman" w:hAnsi="Times New Roman" w:eastAsia="仿宋_GB2312" w:cs="Times New Roman"/>
          <w:szCs w:val="32"/>
        </w:rPr>
      </w:pPr>
      <w:bookmarkStart w:id="2" w:name="OLE_LINK3"/>
      <w:r>
        <w:rPr>
          <w:rFonts w:hint="default" w:ascii="Times New Roman" w:hAnsi="Times New Roman" w:eastAsia="仿宋_GB2312" w:cs="Times New Roman"/>
          <w:szCs w:val="32"/>
        </w:rPr>
        <w:t>以上入围规则中涉及的参数说明如下：</w:t>
      </w:r>
    </w:p>
    <w:p w14:paraId="4B30624F">
      <w:pPr>
        <w:spacing w:line="596" w:lineRule="exact"/>
        <w:ind w:firstLine="640" w:firstLineChars="200"/>
        <w:rPr>
          <w:rFonts w:hint="default"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szCs w:val="32"/>
        </w:rPr>
        <w:t>N：提交有效担保保证的投标人数量；</w:t>
      </w:r>
    </w:p>
    <w:p w14:paraId="0BDD59A0">
      <w:pPr>
        <w:spacing w:line="596" w:lineRule="exact"/>
        <w:ind w:firstLine="640" w:firstLineChars="200"/>
        <w:rPr>
          <w:rFonts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szCs w:val="32"/>
        </w:rPr>
        <w:t>M：入围到初步评审的投标人数量；</w:t>
      </w:r>
    </w:p>
    <w:p w14:paraId="2683C510">
      <w:pPr>
        <w:spacing w:line="596" w:lineRule="exact"/>
        <w:ind w:firstLine="640" w:firstLineChars="200"/>
        <w:rPr>
          <w:rFonts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szCs w:val="32"/>
        </w:rPr>
        <w:t>K</w:t>
      </w:r>
      <w:r>
        <w:rPr>
          <w:rFonts w:hint="default" w:ascii="Times New Roman" w:hAnsi="Times New Roman" w:eastAsia="仿宋_GB2312" w:cs="Times New Roman"/>
          <w:szCs w:val="32"/>
          <w:vertAlign w:val="subscript"/>
        </w:rPr>
        <w:t>c</w:t>
      </w:r>
      <w:r>
        <w:rPr>
          <w:rFonts w:hint="default" w:ascii="Times New Roman" w:hAnsi="Times New Roman" w:eastAsia="仿宋_GB2312" w:cs="Times New Roman"/>
          <w:szCs w:val="32"/>
        </w:rPr>
        <w:t>：初始入围数量基准值，当有效投标人数量（N）小于或等于此值时，所有投标人自动入围,当前取值为35；</w:t>
      </w:r>
    </w:p>
    <w:p w14:paraId="5FF2C7F5">
      <w:pPr>
        <w:spacing w:line="596" w:lineRule="exact"/>
        <w:ind w:firstLine="640" w:firstLineChars="200"/>
        <w:rPr>
          <w:rFonts w:hint="eastAsia"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szCs w:val="32"/>
        </w:rPr>
        <w:t>K</w:t>
      </w:r>
      <w:r>
        <w:rPr>
          <w:rFonts w:hint="default" w:ascii="Times New Roman" w:hAnsi="Times New Roman" w:eastAsia="仿宋_GB2312" w:cs="Times New Roman"/>
          <w:szCs w:val="32"/>
          <w:vertAlign w:val="subscript"/>
        </w:rPr>
        <w:t>1、</w:t>
      </w:r>
      <w:r>
        <w:rPr>
          <w:rFonts w:hint="default" w:ascii="Times New Roman" w:hAnsi="Times New Roman" w:eastAsia="仿宋_GB2312" w:cs="Times New Roman"/>
          <w:szCs w:val="32"/>
        </w:rPr>
        <w:t>K</w:t>
      </w:r>
      <w:r>
        <w:rPr>
          <w:rFonts w:hint="default" w:ascii="Times New Roman" w:hAnsi="Times New Roman" w:eastAsia="仿宋_GB2312" w:cs="Times New Roman"/>
          <w:szCs w:val="32"/>
          <w:vertAlign w:val="subscript"/>
        </w:rPr>
        <w:t>2、</w:t>
      </w:r>
      <w:r>
        <w:rPr>
          <w:rFonts w:hint="default" w:ascii="Times New Roman" w:hAnsi="Times New Roman" w:eastAsia="仿宋_GB2312" w:cs="Times New Roman"/>
          <w:szCs w:val="32"/>
        </w:rPr>
        <w:t>K</w:t>
      </w:r>
      <w:r>
        <w:rPr>
          <w:rFonts w:hint="default" w:ascii="Times New Roman" w:hAnsi="Times New Roman" w:eastAsia="仿宋_GB2312" w:cs="Times New Roman"/>
          <w:szCs w:val="32"/>
          <w:vertAlign w:val="subscript"/>
        </w:rPr>
        <w:t>3、</w:t>
      </w:r>
      <w:r>
        <w:rPr>
          <w:rFonts w:hint="default" w:ascii="Times New Roman" w:hAnsi="Times New Roman" w:eastAsia="仿宋_GB2312" w:cs="Times New Roman"/>
          <w:szCs w:val="32"/>
        </w:rPr>
        <w:t>K</w:t>
      </w:r>
      <w:r>
        <w:rPr>
          <w:rFonts w:hint="default" w:ascii="Times New Roman" w:hAnsi="Times New Roman" w:eastAsia="仿宋_GB2312" w:cs="Times New Roman"/>
          <w:szCs w:val="32"/>
          <w:vertAlign w:val="subscript"/>
        </w:rPr>
        <w:t>4</w:t>
      </w:r>
      <w:r>
        <w:rPr>
          <w:rFonts w:hint="default" w:ascii="Times New Roman" w:hAnsi="Times New Roman" w:eastAsia="仿宋_GB2312" w:cs="Times New Roman"/>
          <w:szCs w:val="32"/>
        </w:rPr>
        <w:t>：入围比例系数，入围比例系数，用于计算当有效投标人数量（N）超过基准值（Kc）时的具体入围数量（M）</w:t>
      </w:r>
      <w:r>
        <w:rPr>
          <w:rFonts w:hint="eastAsia" w:eastAsia="仿宋_GB2312" w:cs="Times New Roman"/>
          <w:szCs w:val="32"/>
          <w:lang w:eastAsia="zh-CN"/>
        </w:rPr>
        <w:t>；</w:t>
      </w:r>
    </w:p>
    <w:p w14:paraId="61689820">
      <w:pPr>
        <w:spacing w:line="596" w:lineRule="exact"/>
        <w:ind w:firstLine="640" w:firstLineChars="200"/>
        <w:rPr>
          <w:rFonts w:ascii="Times New Roman" w:hAnsi="Times New Roman" w:eastAsia="仿宋_GB2312" w:cs="Times New Roman"/>
          <w:szCs w:val="32"/>
        </w:rPr>
      </w:pPr>
      <w:r>
        <w:rPr>
          <w:rFonts w:ascii="Times New Roman" w:hAnsi="Times New Roman" w:eastAsia="仿宋_GB2312" w:cs="Times New Roman"/>
          <w:szCs w:val="32"/>
        </w:rPr>
        <w:t>P₁：第一轮筛选比例，当前取值为10%；</w:t>
      </w:r>
    </w:p>
    <w:p w14:paraId="4A1167FE">
      <w:pPr>
        <w:spacing w:line="596" w:lineRule="exact"/>
        <w:ind w:firstLine="640" w:firstLineChars="200"/>
        <w:rPr>
          <w:rFonts w:hint="default" w:eastAsia="宋体" w:cs="Times New Roman"/>
          <w:szCs w:val="32"/>
        </w:rPr>
      </w:pPr>
      <w:r>
        <w:rPr>
          <w:rFonts w:ascii="Times New Roman" w:hAnsi="Times New Roman" w:eastAsia="仿宋_GB2312" w:cs="Times New Roman"/>
          <w:szCs w:val="32"/>
        </w:rPr>
        <w:t>P₂：第二轮筛选比例，当前取值为45%</w:t>
      </w:r>
      <w:bookmarkEnd w:id="2"/>
      <w:r>
        <w:rPr>
          <w:rFonts w:hint="default" w:ascii="Times New Roman" w:hAnsi="Times New Roman" w:eastAsia="仿宋_GB2312" w:cs="Times New Roman"/>
          <w:szCs w:val="32"/>
        </w:rPr>
        <w:t>。</w:t>
      </w:r>
    </w:p>
    <w:p w14:paraId="6F4204BF">
      <w:pPr>
        <w:spacing w:line="20" w:lineRule="exact"/>
        <w:ind w:left="3362" w:firstLine="420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70DE581"/>
    <w:sectPr>
      <w:footerReference r:id="rId3" w:type="default"/>
      <w:footerReference r:id="rId4" w:type="even"/>
      <w:pgSz w:w="11906" w:h="16838"/>
      <w:pgMar w:top="1871" w:right="1531" w:bottom="1531" w:left="1587" w:header="851" w:footer="130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64E937C-DB73-4227-AFC0-7A07E821E80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3996A86-596F-496C-B9F9-B065E6A53875}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939DF13-E146-4AEE-AA11-76E1832CF83A}"/>
  </w:font>
  <w:font w:name="国标仿宋-GB/T 2312">
    <w:altName w:val="仿宋"/>
    <w:panose1 w:val="02000500000000000000"/>
    <w:charset w:val="86"/>
    <w:family w:val="auto"/>
    <w:pitch w:val="default"/>
    <w:sig w:usb0="00000000" w:usb1="00000000" w:usb2="0000001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59988786-0432-4E52-8106-D47BDF6A820E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141EADC5-38D1-4718-836E-F9F29990A79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95B028">
    <w:pPr>
      <w:pStyle w:val="2"/>
      <w:wordWrap w:val="0"/>
      <w:ind w:left="320" w:leftChars="100"/>
      <w:jc w:val="right"/>
      <w:rPr>
        <w:rFonts w:hint="default"/>
        <w:lang w:val="en-US"/>
      </w:rPr>
    </w:pPr>
    <w:r>
      <w:rPr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\* MERGEFORMAT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—</w:t>
    </w:r>
    <w:r>
      <w:rPr>
        <w:rFonts w:hint="eastAsia"/>
        <w:sz w:val="28"/>
        <w:szCs w:val="28"/>
        <w:lang w:val="en-US" w:eastAsia="zh-CN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D42F85">
    <w:pPr>
      <w:pStyle w:val="2"/>
      <w:ind w:left="320" w:leftChars="100"/>
    </w:pPr>
    <w:r>
      <w:rPr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\* MERGEFORMAT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F27C17"/>
    <w:rsid w:val="31F2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2025-12-17T03:12:00Z</dcterms:created>
  <dc:creator>水煮鱼</dc:creator>
  <cp:lastModifiedBy>水煮鱼</cp:lastModifiedBy>
  <dcterms:modified xsi:type="dcterms:W3CDTF">2025-12-17T03:13:07Z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4FD8467725EC49428A452F3B702EBB91_11</vt:lpwstr>
  </property>
  <property fmtid="{D5CDD505-2E9C-101B-9397-08002B2CF9AE}" pid="4" name="KSOTemplateDocerSaveRecord">
    <vt:lpwstr>eyJoZGlkIjoiNmNkZDFhNGVkYmIwZjE2Mjg4YzFmMWNlNzM0YTM5YjciLCJ1c2VySWQiOiI0MjkxMDA1MTMifQ==</vt:lpwstr>
  </property>
</Properties>
</file>